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3166" w14:textId="60591D71" w:rsidR="00A8777A" w:rsidRDefault="00FC439E" w:rsidP="001D5F3E">
      <w:pPr>
        <w:rPr>
          <w:sz w:val="27"/>
          <w:szCs w:val="27"/>
        </w:rPr>
      </w:pPr>
      <w:r w:rsidRPr="00FC439E">
        <w:rPr>
          <w:rFonts w:asciiTheme="minorHAnsi" w:hAnsiTheme="minorHAnsi" w:cstheme="minorHAnsi"/>
          <w:b/>
          <w:bCs/>
          <w:color w:val="0070C0"/>
          <w:sz w:val="52"/>
          <w:szCs w:val="52"/>
        </w:rPr>
        <w:t>Spine fusion and Adjacent Segment Disease</w:t>
      </w:r>
    </w:p>
    <w:p w14:paraId="57F412BC" w14:textId="49EC5F8D" w:rsidR="00FC439E" w:rsidRDefault="008B2F90" w:rsidP="00F545E0">
      <w:pPr>
        <w:jc w:val="both"/>
        <w:rPr>
          <w:color w:val="000000"/>
          <w:szCs w:val="24"/>
        </w:rPr>
      </w:pPr>
      <w:r>
        <w:rPr>
          <w:noProof/>
          <w:color w:val="000000"/>
          <w:szCs w:val="24"/>
        </w:rPr>
        <w:drawing>
          <wp:anchor distT="0" distB="0" distL="114300" distR="114300" simplePos="0" relativeHeight="251658240" behindDoc="0" locked="0" layoutInCell="1" allowOverlap="1" wp14:anchorId="1962F703" wp14:editId="39590E40">
            <wp:simplePos x="0" y="0"/>
            <wp:positionH relativeFrom="column">
              <wp:posOffset>5038725</wp:posOffset>
            </wp:positionH>
            <wp:positionV relativeFrom="paragraph">
              <wp:posOffset>67310</wp:posOffset>
            </wp:positionV>
            <wp:extent cx="1565910" cy="2507615"/>
            <wp:effectExtent l="0" t="0" r="0" b="6985"/>
            <wp:wrapSquare wrapText="bothSides"/>
            <wp:docPr id="3" name="Picture 3" descr="A picture containing indoor, bed, x-ray fil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bed, x-ray fil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65910" cy="2507615"/>
                    </a:xfrm>
                    <a:prstGeom prst="rect">
                      <a:avLst/>
                    </a:prstGeom>
                  </pic:spPr>
                </pic:pic>
              </a:graphicData>
            </a:graphic>
            <wp14:sizeRelH relativeFrom="margin">
              <wp14:pctWidth>0</wp14:pctWidth>
            </wp14:sizeRelH>
            <wp14:sizeRelV relativeFrom="margin">
              <wp14:pctHeight>0</wp14:pctHeight>
            </wp14:sizeRelV>
          </wp:anchor>
        </w:drawing>
      </w:r>
    </w:p>
    <w:p w14:paraId="1B726E16" w14:textId="49C29C20" w:rsidR="00F545E0" w:rsidRDefault="00FC439E" w:rsidP="00F545E0">
      <w:pPr>
        <w:jc w:val="both"/>
        <w:rPr>
          <w:color w:val="000000"/>
          <w:szCs w:val="24"/>
        </w:rPr>
      </w:pPr>
      <w:r>
        <w:rPr>
          <w:color w:val="000000"/>
          <w:szCs w:val="24"/>
        </w:rPr>
        <w:t xml:space="preserve">Adjacent Segment Disease (AKA </w:t>
      </w:r>
      <w:r w:rsidR="00357B65">
        <w:rPr>
          <w:color w:val="000000"/>
          <w:szCs w:val="24"/>
        </w:rPr>
        <w:t xml:space="preserve">ASD, </w:t>
      </w:r>
      <w:r>
        <w:rPr>
          <w:color w:val="000000"/>
          <w:szCs w:val="24"/>
        </w:rPr>
        <w:t>Adjacent Level Disease</w:t>
      </w:r>
      <w:r w:rsidR="00357B65">
        <w:rPr>
          <w:color w:val="000000"/>
          <w:szCs w:val="24"/>
        </w:rPr>
        <w:t>, ALD</w:t>
      </w:r>
      <w:r>
        <w:rPr>
          <w:color w:val="000000"/>
          <w:szCs w:val="24"/>
        </w:rPr>
        <w:t xml:space="preserve">) following spinal fusion is one of the most common </w:t>
      </w:r>
      <w:r w:rsidR="002039E6">
        <w:rPr>
          <w:color w:val="000000"/>
          <w:szCs w:val="24"/>
        </w:rPr>
        <w:t>long-term</w:t>
      </w:r>
      <w:r>
        <w:rPr>
          <w:color w:val="000000"/>
          <w:szCs w:val="24"/>
        </w:rPr>
        <w:t xml:space="preserve"> consequences of spinal fusion</w:t>
      </w:r>
      <w:r w:rsidR="00357B65">
        <w:rPr>
          <w:color w:val="000000"/>
          <w:szCs w:val="24"/>
        </w:rPr>
        <w:t xml:space="preserve"> and one of the greatest challenges facing spine surgeons and their patients</w:t>
      </w:r>
      <w:r>
        <w:rPr>
          <w:color w:val="000000"/>
          <w:szCs w:val="24"/>
        </w:rPr>
        <w:t xml:space="preserve">. So, what is </w:t>
      </w:r>
      <w:r w:rsidR="00357B65">
        <w:rPr>
          <w:color w:val="000000"/>
          <w:szCs w:val="24"/>
        </w:rPr>
        <w:t xml:space="preserve">ASD and why is it so concerning? ASD is degeneration of </w:t>
      </w:r>
      <w:r w:rsidR="00B80FBA">
        <w:rPr>
          <w:color w:val="000000"/>
          <w:szCs w:val="24"/>
        </w:rPr>
        <w:t xml:space="preserve">the joints above and/or below the level of </w:t>
      </w:r>
      <w:r w:rsidR="002039E6">
        <w:rPr>
          <w:color w:val="000000"/>
          <w:szCs w:val="24"/>
        </w:rPr>
        <w:t xml:space="preserve">the </w:t>
      </w:r>
      <w:r w:rsidR="00B80FBA">
        <w:rPr>
          <w:color w:val="000000"/>
          <w:szCs w:val="24"/>
        </w:rPr>
        <w:t>fusion(s). It is the result of biomechanical changes that take place after a spinal motor unit no longer has motion and the forces previously accommodated by that joint are transferred primarily to the motor units above and</w:t>
      </w:r>
      <w:r w:rsidR="004A6B54">
        <w:rPr>
          <w:color w:val="000000"/>
          <w:szCs w:val="24"/>
        </w:rPr>
        <w:t>/or</w:t>
      </w:r>
      <w:r w:rsidR="00B80FBA">
        <w:rPr>
          <w:color w:val="000000"/>
          <w:szCs w:val="24"/>
        </w:rPr>
        <w:t xml:space="preserve"> below</w:t>
      </w:r>
      <w:r w:rsidR="00880079">
        <w:rPr>
          <w:color w:val="000000"/>
          <w:szCs w:val="24"/>
        </w:rPr>
        <w:t>. The ASD often results in the need for reoperation and has a domino effect over time as more segments develop ASD progressively.</w:t>
      </w:r>
      <w:r w:rsidR="00CD2055">
        <w:rPr>
          <w:color w:val="000000"/>
          <w:szCs w:val="24"/>
        </w:rPr>
        <w:t xml:space="preserve"> For clarification, a motor unit </w:t>
      </w:r>
      <w:r w:rsidR="00053579">
        <w:rPr>
          <w:color w:val="000000"/>
          <w:szCs w:val="24"/>
        </w:rPr>
        <w:t>in</w:t>
      </w:r>
      <w:r w:rsidR="00CD2055">
        <w:rPr>
          <w:color w:val="000000"/>
          <w:szCs w:val="24"/>
        </w:rPr>
        <w:t xml:space="preserve"> the spine consists of </w:t>
      </w:r>
      <w:r w:rsidR="00053579">
        <w:rPr>
          <w:color w:val="000000"/>
          <w:szCs w:val="24"/>
        </w:rPr>
        <w:t>two adjacent</w:t>
      </w:r>
      <w:r w:rsidR="00CD2055">
        <w:rPr>
          <w:color w:val="000000"/>
          <w:szCs w:val="24"/>
        </w:rPr>
        <w:t xml:space="preserve"> vertebra </w:t>
      </w:r>
      <w:r w:rsidR="00053579">
        <w:rPr>
          <w:color w:val="000000"/>
          <w:szCs w:val="24"/>
        </w:rPr>
        <w:t>and all the connective tissue structures</w:t>
      </w:r>
      <w:r w:rsidR="00880079">
        <w:rPr>
          <w:color w:val="000000"/>
          <w:szCs w:val="24"/>
        </w:rPr>
        <w:t xml:space="preserve"> between them</w:t>
      </w:r>
      <w:r w:rsidR="00053579">
        <w:rPr>
          <w:color w:val="000000"/>
          <w:szCs w:val="24"/>
        </w:rPr>
        <w:t xml:space="preserve">. The specific joints </w:t>
      </w:r>
      <w:r w:rsidR="008466D3">
        <w:rPr>
          <w:color w:val="000000"/>
          <w:szCs w:val="24"/>
        </w:rPr>
        <w:t xml:space="preserve">of a spinal motor unit </w:t>
      </w:r>
      <w:r w:rsidR="00053579">
        <w:rPr>
          <w:color w:val="000000"/>
          <w:szCs w:val="24"/>
        </w:rPr>
        <w:t>include the disc and the two facet joints.</w:t>
      </w:r>
    </w:p>
    <w:p w14:paraId="0670D641" w14:textId="31D83E27" w:rsidR="00053579" w:rsidRDefault="00053579" w:rsidP="00F545E0">
      <w:pPr>
        <w:jc w:val="both"/>
        <w:rPr>
          <w:color w:val="000000"/>
          <w:szCs w:val="24"/>
        </w:rPr>
      </w:pPr>
    </w:p>
    <w:p w14:paraId="31FB9E68" w14:textId="77777777" w:rsidR="005D241B" w:rsidRDefault="00053579" w:rsidP="00F545E0">
      <w:pPr>
        <w:jc w:val="both"/>
        <w:rPr>
          <w:color w:val="000000"/>
          <w:szCs w:val="24"/>
        </w:rPr>
      </w:pPr>
      <w:r>
        <w:rPr>
          <w:color w:val="000000"/>
          <w:szCs w:val="24"/>
        </w:rPr>
        <w:t>When a fusion is perfor</w:t>
      </w:r>
      <w:r w:rsidR="003A24D0">
        <w:rPr>
          <w:color w:val="000000"/>
          <w:szCs w:val="24"/>
        </w:rPr>
        <w:t xml:space="preserve">med by a spine surgeon the purpose is to remove all movement between the selected levels. This </w:t>
      </w:r>
      <w:r w:rsidR="001101B4">
        <w:rPr>
          <w:color w:val="000000"/>
          <w:szCs w:val="24"/>
        </w:rPr>
        <w:t>is often</w:t>
      </w:r>
      <w:r w:rsidR="003A24D0">
        <w:rPr>
          <w:color w:val="000000"/>
          <w:szCs w:val="24"/>
        </w:rPr>
        <w:t xml:space="preserve"> done </w:t>
      </w:r>
      <w:r w:rsidR="008466D3">
        <w:rPr>
          <w:color w:val="000000"/>
          <w:szCs w:val="24"/>
        </w:rPr>
        <w:t>because of</w:t>
      </w:r>
      <w:r w:rsidR="003A24D0">
        <w:rPr>
          <w:color w:val="000000"/>
          <w:szCs w:val="24"/>
        </w:rPr>
        <w:t xml:space="preserve"> </w:t>
      </w:r>
      <w:r w:rsidR="001101B4">
        <w:rPr>
          <w:color w:val="000000"/>
          <w:szCs w:val="24"/>
        </w:rPr>
        <w:t xml:space="preserve">spinal </w:t>
      </w:r>
      <w:r w:rsidR="003A24D0">
        <w:rPr>
          <w:color w:val="000000"/>
          <w:szCs w:val="24"/>
        </w:rPr>
        <w:t>instability</w:t>
      </w:r>
      <w:r w:rsidR="001101B4">
        <w:rPr>
          <w:color w:val="000000"/>
          <w:szCs w:val="24"/>
        </w:rPr>
        <w:t xml:space="preserve"> or </w:t>
      </w:r>
      <w:proofErr w:type="gramStart"/>
      <w:r w:rsidR="001101B4">
        <w:rPr>
          <w:color w:val="000000"/>
          <w:szCs w:val="24"/>
        </w:rPr>
        <w:t>a number of</w:t>
      </w:r>
      <w:proofErr w:type="gramEnd"/>
      <w:r w:rsidR="001101B4">
        <w:rPr>
          <w:color w:val="000000"/>
          <w:szCs w:val="24"/>
        </w:rPr>
        <w:t xml:space="preserve"> other clinical indications such as central stenosis when it is believed that motion is the source of pain. Typically, cervical spine fusions have better </w:t>
      </w:r>
      <w:r w:rsidR="008466D3">
        <w:rPr>
          <w:color w:val="000000"/>
          <w:szCs w:val="24"/>
        </w:rPr>
        <w:t>long-term</w:t>
      </w:r>
      <w:r w:rsidR="001101B4">
        <w:rPr>
          <w:color w:val="000000"/>
          <w:szCs w:val="24"/>
        </w:rPr>
        <w:t xml:space="preserve"> outcomes than do lumbar </w:t>
      </w:r>
      <w:r w:rsidR="00C06FB3">
        <w:rPr>
          <w:color w:val="000000"/>
          <w:szCs w:val="24"/>
        </w:rPr>
        <w:t>fusions,</w:t>
      </w:r>
      <w:r w:rsidR="001101B4">
        <w:rPr>
          <w:color w:val="000000"/>
          <w:szCs w:val="24"/>
        </w:rPr>
        <w:t xml:space="preserve"> but both have the complication of ASD. </w:t>
      </w:r>
      <w:r w:rsidR="00C06FB3">
        <w:rPr>
          <w:color w:val="000000"/>
          <w:szCs w:val="24"/>
        </w:rPr>
        <w:t xml:space="preserve">Acknowledging ASD as a significant complication of spine surgery, researchers and spine </w:t>
      </w:r>
      <w:r w:rsidR="008466D3">
        <w:rPr>
          <w:color w:val="000000"/>
          <w:szCs w:val="24"/>
        </w:rPr>
        <w:t xml:space="preserve">surgeons have </w:t>
      </w:r>
      <w:r w:rsidR="00C06FB3">
        <w:rPr>
          <w:color w:val="000000"/>
          <w:szCs w:val="24"/>
        </w:rPr>
        <w:t xml:space="preserve">been investigating ways to maintain controlled motion in the spine using dynamic stabilization devices. </w:t>
      </w:r>
    </w:p>
    <w:p w14:paraId="0E8A4492" w14:textId="77777777" w:rsidR="005D241B" w:rsidRDefault="005D241B" w:rsidP="00F545E0">
      <w:pPr>
        <w:jc w:val="both"/>
        <w:rPr>
          <w:color w:val="000000"/>
          <w:szCs w:val="24"/>
        </w:rPr>
      </w:pPr>
    </w:p>
    <w:p w14:paraId="4FD51D08" w14:textId="13340ADC" w:rsidR="00053579" w:rsidRDefault="00C06FB3" w:rsidP="00F545E0">
      <w:pPr>
        <w:jc w:val="both"/>
        <w:rPr>
          <w:color w:val="000000"/>
          <w:szCs w:val="24"/>
        </w:rPr>
      </w:pPr>
      <w:r>
        <w:rPr>
          <w:color w:val="000000"/>
          <w:szCs w:val="24"/>
        </w:rPr>
        <w:t xml:space="preserve">The </w:t>
      </w:r>
      <w:proofErr w:type="gramStart"/>
      <w:r>
        <w:rPr>
          <w:color w:val="000000"/>
          <w:szCs w:val="24"/>
        </w:rPr>
        <w:t>most commonly used</w:t>
      </w:r>
      <w:proofErr w:type="gramEnd"/>
      <w:r>
        <w:rPr>
          <w:color w:val="000000"/>
          <w:szCs w:val="24"/>
        </w:rPr>
        <w:t xml:space="preserve"> dynamic stabilization used these days is an artificial disc which is implanted during disc arthroplasty surgery. The designs of these artificial discs vary from company to company and there is much debate about which is best. Despite the logic of using motion sparing artificial discs, </w:t>
      </w:r>
      <w:proofErr w:type="gramStart"/>
      <w:r>
        <w:rPr>
          <w:color w:val="000000"/>
          <w:szCs w:val="24"/>
        </w:rPr>
        <w:t>the majority of</w:t>
      </w:r>
      <w:proofErr w:type="gramEnd"/>
      <w:r>
        <w:rPr>
          <w:color w:val="000000"/>
          <w:szCs w:val="24"/>
        </w:rPr>
        <w:t xml:space="preserve"> the current literature has not </w:t>
      </w:r>
      <w:r w:rsidR="00CE1A73">
        <w:rPr>
          <w:color w:val="000000"/>
          <w:szCs w:val="24"/>
        </w:rPr>
        <w:t>demonstrated</w:t>
      </w:r>
      <w:r>
        <w:rPr>
          <w:color w:val="000000"/>
          <w:szCs w:val="24"/>
        </w:rPr>
        <w:t xml:space="preserve"> </w:t>
      </w:r>
      <w:r w:rsidR="00CE1A73">
        <w:rPr>
          <w:color w:val="000000"/>
          <w:szCs w:val="24"/>
        </w:rPr>
        <w:t>statistically significant differences between fusion surgeries and implantation of artificial discs</w:t>
      </w:r>
      <w:r w:rsidR="002039E6">
        <w:rPr>
          <w:color w:val="000000"/>
          <w:szCs w:val="24"/>
        </w:rPr>
        <w:t xml:space="preserve"> as it relates to the development of ASD</w:t>
      </w:r>
      <w:r w:rsidR="00CE1A73">
        <w:rPr>
          <w:color w:val="000000"/>
          <w:szCs w:val="24"/>
        </w:rPr>
        <w:t xml:space="preserve">. Much of this has to do with the </w:t>
      </w:r>
      <w:proofErr w:type="gramStart"/>
      <w:r w:rsidR="00780F36">
        <w:rPr>
          <w:color w:val="000000"/>
          <w:szCs w:val="24"/>
        </w:rPr>
        <w:t xml:space="preserve">ever </w:t>
      </w:r>
      <w:r w:rsidR="00CE1A73">
        <w:rPr>
          <w:color w:val="000000"/>
          <w:szCs w:val="24"/>
        </w:rPr>
        <w:t>evolving</w:t>
      </w:r>
      <w:proofErr w:type="gramEnd"/>
      <w:r w:rsidR="00CE1A73">
        <w:rPr>
          <w:color w:val="000000"/>
          <w:szCs w:val="24"/>
        </w:rPr>
        <w:t xml:space="preserve"> </w:t>
      </w:r>
      <w:r w:rsidR="002039E6">
        <w:rPr>
          <w:color w:val="000000"/>
          <w:szCs w:val="24"/>
        </w:rPr>
        <w:t xml:space="preserve">designs of the artificial disc as they try to duplicate the biomechanics of a </w:t>
      </w:r>
      <w:r w:rsidR="00780F36">
        <w:rPr>
          <w:color w:val="000000"/>
          <w:szCs w:val="24"/>
        </w:rPr>
        <w:t xml:space="preserve">normal </w:t>
      </w:r>
      <w:r w:rsidR="002039E6">
        <w:rPr>
          <w:color w:val="000000"/>
          <w:szCs w:val="24"/>
        </w:rPr>
        <w:t xml:space="preserve">healthy disc. This is no easy task and made particularly difficult considering the varying anatomy of patients and the multiple different spinal conditions contributing to the need for fusion </w:t>
      </w:r>
      <w:r w:rsidR="005D241B">
        <w:rPr>
          <w:color w:val="000000"/>
          <w:szCs w:val="24"/>
        </w:rPr>
        <w:t>or stabilization.</w:t>
      </w:r>
    </w:p>
    <w:p w14:paraId="268424C8" w14:textId="3683CEAB" w:rsidR="005D241B" w:rsidRDefault="005D241B" w:rsidP="00F545E0">
      <w:pPr>
        <w:jc w:val="both"/>
        <w:rPr>
          <w:color w:val="000000"/>
          <w:szCs w:val="24"/>
        </w:rPr>
      </w:pPr>
    </w:p>
    <w:p w14:paraId="799C50EE" w14:textId="55EDE699" w:rsidR="005D241B" w:rsidRDefault="005D241B" w:rsidP="00F545E0">
      <w:pPr>
        <w:jc w:val="both"/>
        <w:rPr>
          <w:color w:val="000000"/>
          <w:szCs w:val="24"/>
        </w:rPr>
      </w:pPr>
      <w:r>
        <w:rPr>
          <w:color w:val="000000"/>
          <w:szCs w:val="24"/>
        </w:rPr>
        <w:t xml:space="preserve">The question for lawyers </w:t>
      </w:r>
      <w:r w:rsidR="001F2CA1">
        <w:rPr>
          <w:color w:val="000000"/>
          <w:szCs w:val="24"/>
        </w:rPr>
        <w:t xml:space="preserve">to consider </w:t>
      </w:r>
      <w:r>
        <w:rPr>
          <w:color w:val="000000"/>
          <w:szCs w:val="24"/>
        </w:rPr>
        <w:t xml:space="preserve">is the need for future surgeries at the adjacent levels. There is no clear answer to </w:t>
      </w:r>
      <w:r w:rsidR="00E0465D">
        <w:rPr>
          <w:color w:val="000000"/>
          <w:szCs w:val="24"/>
        </w:rPr>
        <w:t>this,</w:t>
      </w:r>
      <w:r>
        <w:rPr>
          <w:color w:val="000000"/>
          <w:szCs w:val="24"/>
        </w:rPr>
        <w:t xml:space="preserve"> and the data is all over the place in the literature. I recently </w:t>
      </w:r>
      <w:r w:rsidR="001F2CA1">
        <w:rPr>
          <w:color w:val="000000"/>
          <w:szCs w:val="24"/>
        </w:rPr>
        <w:t>read</w:t>
      </w:r>
      <w:r>
        <w:rPr>
          <w:color w:val="000000"/>
          <w:szCs w:val="24"/>
        </w:rPr>
        <w:t xml:space="preserve"> a retrospective study from a neurosurgery journal that reviewed 131 patients who underwent L4-5 fusion for degenerative joint disease over a </w:t>
      </w:r>
      <w:proofErr w:type="gramStart"/>
      <w:r>
        <w:rPr>
          <w:color w:val="000000"/>
          <w:szCs w:val="24"/>
        </w:rPr>
        <w:t>10 year</w:t>
      </w:r>
      <w:proofErr w:type="gramEnd"/>
      <w:r>
        <w:rPr>
          <w:color w:val="000000"/>
          <w:szCs w:val="24"/>
        </w:rPr>
        <w:t xml:space="preserve"> period using a posterior </w:t>
      </w:r>
      <w:r w:rsidR="009C37B6">
        <w:rPr>
          <w:color w:val="000000"/>
          <w:szCs w:val="24"/>
        </w:rPr>
        <w:t xml:space="preserve">pedicle screw construct with or without interbody fusion. The study defined ASD as degenerative disease requiring reoperation above </w:t>
      </w:r>
      <w:r w:rsidR="009C37B6">
        <w:rPr>
          <w:color w:val="000000"/>
          <w:szCs w:val="24"/>
        </w:rPr>
        <w:lastRenderedPageBreak/>
        <w:t xml:space="preserve">or below the level of fusion. The study found that the reoperation rate was 25.2%. Twenty-four cases (18.3%) </w:t>
      </w:r>
      <w:proofErr w:type="gramStart"/>
      <w:r w:rsidR="001F2CA1">
        <w:rPr>
          <w:color w:val="000000"/>
          <w:szCs w:val="24"/>
        </w:rPr>
        <w:t xml:space="preserve">of  </w:t>
      </w:r>
      <w:r w:rsidR="009C37B6">
        <w:rPr>
          <w:color w:val="000000"/>
          <w:szCs w:val="24"/>
        </w:rPr>
        <w:t>surgery</w:t>
      </w:r>
      <w:proofErr w:type="gramEnd"/>
      <w:r w:rsidR="009C37B6">
        <w:rPr>
          <w:color w:val="000000"/>
          <w:szCs w:val="24"/>
        </w:rPr>
        <w:t xml:space="preserve"> at the level above. Three cases (2.3%) required surgery at the level below. Six cases (4.6%) required </w:t>
      </w:r>
      <w:r w:rsidR="00E0465D">
        <w:rPr>
          <w:color w:val="000000"/>
          <w:szCs w:val="24"/>
        </w:rPr>
        <w:t>surgery above and below the fused segments. In my experience with patients (and my father), those numbers seem relatively low, particularly in the lumbar spine. In my father’s case, he required reoperation and revision surgeries every two years until he ultimately could not get another surgery and was essentially non-ambulatory for the remainder of his life.</w:t>
      </w:r>
    </w:p>
    <w:p w14:paraId="1BC0118E" w14:textId="326E40B7" w:rsidR="00E0465D" w:rsidRDefault="00E0465D" w:rsidP="00F545E0">
      <w:pPr>
        <w:jc w:val="both"/>
        <w:rPr>
          <w:color w:val="000000"/>
          <w:szCs w:val="24"/>
        </w:rPr>
      </w:pPr>
    </w:p>
    <w:p w14:paraId="4AB574F0" w14:textId="27F83EEF" w:rsidR="00E0465D" w:rsidRDefault="00121FDA" w:rsidP="00F545E0">
      <w:pPr>
        <w:pBdr>
          <w:bottom w:val="single" w:sz="6" w:space="1" w:color="auto"/>
        </w:pBdr>
        <w:jc w:val="both"/>
        <w:rPr>
          <w:color w:val="000000"/>
          <w:szCs w:val="24"/>
        </w:rPr>
      </w:pPr>
      <w:r>
        <w:rPr>
          <w:color w:val="000000"/>
          <w:szCs w:val="24"/>
        </w:rPr>
        <w:t xml:space="preserve">The takeaway for lawyers representing patients that ultimately require a spinal fusion is that there is a high incidence of ASD and the need for reoperation. This must be considered when settling or trying their </w:t>
      </w:r>
      <w:r w:rsidR="001F2CA1">
        <w:rPr>
          <w:color w:val="000000"/>
          <w:szCs w:val="24"/>
        </w:rPr>
        <w:t>client’s</w:t>
      </w:r>
      <w:r>
        <w:rPr>
          <w:color w:val="000000"/>
          <w:szCs w:val="24"/>
        </w:rPr>
        <w:t xml:space="preserve"> case. With spine surgeries costing between $100,000 and $200,000 for an uninsured patient paying out of pocket, the physical impact of their injuries is compounded by the financial consequences. </w:t>
      </w:r>
    </w:p>
    <w:p w14:paraId="79930D4B" w14:textId="77777777" w:rsidR="00446095" w:rsidRDefault="00446095" w:rsidP="00F545E0">
      <w:pPr>
        <w:pBdr>
          <w:bottom w:val="single" w:sz="6" w:space="1" w:color="auto"/>
        </w:pBdr>
        <w:jc w:val="both"/>
        <w:rPr>
          <w:color w:val="000000"/>
          <w:szCs w:val="24"/>
        </w:rPr>
      </w:pPr>
    </w:p>
    <w:p w14:paraId="592CD51A" w14:textId="77777777" w:rsidR="00446095" w:rsidRPr="00F545E0" w:rsidRDefault="00446095" w:rsidP="00F545E0">
      <w:pPr>
        <w:jc w:val="both"/>
        <w:rPr>
          <w:szCs w:val="24"/>
        </w:rPr>
      </w:pPr>
    </w:p>
    <w:p w14:paraId="28F8CDD0" w14:textId="3CC9C02B" w:rsidR="00446095" w:rsidRPr="006A3992" w:rsidRDefault="00446095" w:rsidP="00446095">
      <w:pPr>
        <w:jc w:val="both"/>
        <w:rPr>
          <w:rFonts w:asciiTheme="minorHAnsi" w:hAnsiTheme="minorHAnsi" w:cstheme="minorHAnsi"/>
          <w:b/>
          <w:bCs/>
          <w:sz w:val="36"/>
          <w:szCs w:val="36"/>
        </w:rPr>
      </w:pPr>
      <w:r w:rsidRPr="006A3992">
        <w:rPr>
          <w:rFonts w:asciiTheme="minorHAnsi" w:hAnsiTheme="minorHAnsi" w:cstheme="minorHAnsi"/>
          <w:b/>
          <w:bCs/>
          <w:sz w:val="36"/>
          <w:szCs w:val="36"/>
        </w:rPr>
        <w:t xml:space="preserve">As I was writing the above </w:t>
      </w:r>
      <w:proofErr w:type="gramStart"/>
      <w:r w:rsidRPr="006A3992">
        <w:rPr>
          <w:rFonts w:asciiTheme="minorHAnsi" w:hAnsiTheme="minorHAnsi" w:cstheme="minorHAnsi"/>
          <w:b/>
          <w:bCs/>
          <w:sz w:val="36"/>
          <w:szCs w:val="36"/>
        </w:rPr>
        <w:t>newsletter</w:t>
      </w:r>
      <w:proofErr w:type="gramEnd"/>
      <w:r w:rsidRPr="006A3992">
        <w:rPr>
          <w:rFonts w:asciiTheme="minorHAnsi" w:hAnsiTheme="minorHAnsi" w:cstheme="minorHAnsi"/>
          <w:b/>
          <w:bCs/>
          <w:sz w:val="36"/>
          <w:szCs w:val="36"/>
        </w:rPr>
        <w:t xml:space="preserve"> I also posted a related question on LinkedIn. Below is the question and the responses to date from spine surgeons around the world. To see the original post on LinkedIn </w:t>
      </w:r>
      <w:hyperlink r:id="rId9" w:history="1">
        <w:r w:rsidRPr="006A3992">
          <w:rPr>
            <w:rStyle w:val="Hyperlink"/>
            <w:rFonts w:asciiTheme="minorHAnsi" w:hAnsiTheme="minorHAnsi" w:cstheme="minorHAnsi"/>
            <w:b/>
            <w:bCs/>
            <w:sz w:val="36"/>
            <w:szCs w:val="36"/>
          </w:rPr>
          <w:t>click here.</w:t>
        </w:r>
      </w:hyperlink>
    </w:p>
    <w:p w14:paraId="6BFC5C9B" w14:textId="77777777" w:rsidR="00446095" w:rsidRPr="006A3992" w:rsidRDefault="00446095" w:rsidP="00446095">
      <w:pPr>
        <w:jc w:val="both"/>
        <w:rPr>
          <w:rFonts w:asciiTheme="minorHAnsi" w:hAnsiTheme="minorHAnsi" w:cstheme="minorHAnsi"/>
          <w:sz w:val="36"/>
          <w:szCs w:val="36"/>
        </w:rPr>
      </w:pPr>
      <w:r w:rsidRPr="006A3992">
        <w:rPr>
          <w:rFonts w:asciiTheme="minorHAnsi" w:hAnsiTheme="minorHAnsi" w:cstheme="minorHAnsi"/>
          <w:sz w:val="36"/>
          <w:szCs w:val="36"/>
        </w:rPr>
        <w:t xml:space="preserve"> </w:t>
      </w:r>
    </w:p>
    <w:p w14:paraId="4B79A16A" w14:textId="77777777" w:rsidR="00446095" w:rsidRPr="00446095" w:rsidRDefault="00446095" w:rsidP="00446095">
      <w:pPr>
        <w:jc w:val="both"/>
        <w:rPr>
          <w:szCs w:val="24"/>
        </w:rPr>
      </w:pPr>
      <w:r w:rsidRPr="00446095">
        <w:rPr>
          <w:szCs w:val="24"/>
        </w:rPr>
        <w:t xml:space="preserve"> </w:t>
      </w:r>
    </w:p>
    <w:p w14:paraId="14324A22" w14:textId="77777777" w:rsidR="00446095" w:rsidRPr="00446095" w:rsidRDefault="00446095" w:rsidP="00446095">
      <w:pPr>
        <w:jc w:val="both"/>
        <w:rPr>
          <w:szCs w:val="24"/>
        </w:rPr>
      </w:pPr>
      <w:r w:rsidRPr="00446095">
        <w:rPr>
          <w:szCs w:val="24"/>
        </w:rPr>
        <w:t>My Question: Adjacent Segment Disease (ASD) question for my spine surgeon friends. A colleague asked for an opinion about the likelihood of an L4 fusion resulting in adjacent level disease in a 52-year-old male in otherwise good physical condition (non-smoker, athlete). My opinion was that the likelihood of ASD in his lifetime is probably 100% but the likelihood of the need for additional fusions at adjacent levels is multifactorial. He was told by the orthopedic spine surgeon that the need for surgery at the adjacent level was 15% and that seems extraordinarily low in my experience. I would think that 25% in 10 years and much higher as the patient ages and deconditions beyond that. Can anyone offer me some insight from their experience or from the literature?  (reposted)</w:t>
      </w:r>
    </w:p>
    <w:p w14:paraId="6852C008" w14:textId="77777777" w:rsidR="00446095" w:rsidRPr="00446095" w:rsidRDefault="00446095" w:rsidP="00446095">
      <w:pPr>
        <w:jc w:val="both"/>
        <w:rPr>
          <w:szCs w:val="24"/>
        </w:rPr>
      </w:pPr>
    </w:p>
    <w:p w14:paraId="499DF043" w14:textId="77777777" w:rsidR="00446095" w:rsidRPr="00446095" w:rsidRDefault="00446095" w:rsidP="00446095">
      <w:pPr>
        <w:jc w:val="both"/>
        <w:rPr>
          <w:szCs w:val="24"/>
        </w:rPr>
      </w:pPr>
      <w:r w:rsidRPr="00446095">
        <w:rPr>
          <w:szCs w:val="24"/>
        </w:rPr>
        <w:t>Here are the responses so far:</w:t>
      </w:r>
    </w:p>
    <w:p w14:paraId="4B170FC2" w14:textId="77777777" w:rsidR="00446095" w:rsidRPr="00446095" w:rsidRDefault="00446095" w:rsidP="00446095">
      <w:pPr>
        <w:jc w:val="both"/>
        <w:rPr>
          <w:szCs w:val="24"/>
        </w:rPr>
      </w:pPr>
    </w:p>
    <w:p w14:paraId="4EC46203" w14:textId="7188C983" w:rsidR="00446095" w:rsidRPr="00446095" w:rsidRDefault="00446095" w:rsidP="00446095">
      <w:pPr>
        <w:jc w:val="both"/>
        <w:rPr>
          <w:szCs w:val="24"/>
        </w:rPr>
      </w:pPr>
      <w:r w:rsidRPr="00446095">
        <w:rPr>
          <w:szCs w:val="24"/>
        </w:rPr>
        <w:t xml:space="preserve">We published recently on this subject (ASD after L45 fusion). The mean fu was little under 8 years and the rate of ASD leading to reoperation was around 8-10%. Very large database actually and with patient reported outcome measures. </w:t>
      </w:r>
      <w:hyperlink r:id="rId10" w:history="1">
        <w:r w:rsidRPr="008E75FD">
          <w:rPr>
            <w:rStyle w:val="Hyperlink"/>
            <w:szCs w:val="24"/>
          </w:rPr>
          <w:t>https://doi.org/10.1080/17453674.2021.1879505</w:t>
        </w:r>
      </w:hyperlink>
    </w:p>
    <w:p w14:paraId="5EF0F371" w14:textId="77777777" w:rsidR="00446095" w:rsidRPr="00446095" w:rsidRDefault="00446095" w:rsidP="00446095">
      <w:pPr>
        <w:jc w:val="both"/>
        <w:rPr>
          <w:szCs w:val="24"/>
        </w:rPr>
      </w:pPr>
      <w:r w:rsidRPr="00446095">
        <w:rPr>
          <w:szCs w:val="24"/>
        </w:rPr>
        <w:t xml:space="preserve"> </w:t>
      </w:r>
    </w:p>
    <w:p w14:paraId="5CB81489" w14:textId="77777777" w:rsidR="00446095" w:rsidRPr="00446095" w:rsidRDefault="00446095" w:rsidP="00446095">
      <w:pPr>
        <w:jc w:val="both"/>
        <w:rPr>
          <w:szCs w:val="24"/>
        </w:rPr>
      </w:pPr>
      <w:r w:rsidRPr="00446095">
        <w:rPr>
          <w:szCs w:val="24"/>
        </w:rPr>
        <w:t>________________________________________</w:t>
      </w:r>
    </w:p>
    <w:p w14:paraId="1CF8A77C" w14:textId="5E636C8D" w:rsidR="00446095" w:rsidRPr="008E75FD" w:rsidRDefault="00446095" w:rsidP="00446095">
      <w:pPr>
        <w:jc w:val="both"/>
        <w:rPr>
          <w:rStyle w:val="Hyperlink"/>
          <w:szCs w:val="24"/>
        </w:rPr>
      </w:pPr>
      <w:r w:rsidRPr="00446095">
        <w:rPr>
          <w:szCs w:val="24"/>
        </w:rPr>
        <w:lastRenderedPageBreak/>
        <w:t xml:space="preserve">Reoperations after decompression with or without fusion for L4–5 spinal stenosis with or without degenerative spondylolisthesis: a study of 6,532 patients in </w:t>
      </w:r>
      <w:proofErr w:type="spellStart"/>
      <w:r w:rsidRPr="00446095">
        <w:rPr>
          <w:szCs w:val="24"/>
        </w:rPr>
        <w:t>Swespine</w:t>
      </w:r>
      <w:proofErr w:type="spellEnd"/>
      <w:r w:rsidRPr="00446095">
        <w:rPr>
          <w:szCs w:val="24"/>
        </w:rPr>
        <w:t>, the national Swedish spine register Reoperations after decompression with or without fusion for L4–5 spina…</w:t>
      </w:r>
      <w:r w:rsidR="008E75FD">
        <w:rPr>
          <w:szCs w:val="24"/>
        </w:rPr>
        <w:fldChar w:fldCharType="begin"/>
      </w:r>
      <w:r w:rsidR="008E75FD">
        <w:rPr>
          <w:szCs w:val="24"/>
        </w:rPr>
        <w:instrText xml:space="preserve"> HYPERLINK "https://actaorthop.org/actao/article/view/1109" </w:instrText>
      </w:r>
      <w:r w:rsidR="008E75FD">
        <w:rPr>
          <w:szCs w:val="24"/>
        </w:rPr>
      </w:r>
      <w:r w:rsidR="008E75FD">
        <w:rPr>
          <w:szCs w:val="24"/>
        </w:rPr>
        <w:fldChar w:fldCharType="separate"/>
      </w:r>
      <w:r w:rsidRPr="008E75FD">
        <w:rPr>
          <w:rStyle w:val="Hyperlink"/>
          <w:szCs w:val="24"/>
        </w:rPr>
        <w:t>actaorthop.org</w:t>
      </w:r>
    </w:p>
    <w:p w14:paraId="0A3E001D" w14:textId="09D473B3" w:rsidR="00446095" w:rsidRPr="00446095" w:rsidRDefault="00446095" w:rsidP="00446095">
      <w:pPr>
        <w:jc w:val="both"/>
        <w:rPr>
          <w:szCs w:val="24"/>
        </w:rPr>
      </w:pPr>
      <w:r w:rsidRPr="008E75FD">
        <w:rPr>
          <w:rStyle w:val="Hyperlink"/>
          <w:szCs w:val="24"/>
        </w:rPr>
        <w:t>https://doi.org/10.1080/17453674.2021.1879505 Background and purpose — There are different opinions</w:t>
      </w:r>
      <w:r w:rsidR="008E75FD">
        <w:rPr>
          <w:szCs w:val="24"/>
        </w:rPr>
        <w:fldChar w:fldCharType="end"/>
      </w:r>
    </w:p>
    <w:p w14:paraId="079717A1" w14:textId="77777777" w:rsidR="00446095" w:rsidRPr="00446095" w:rsidRDefault="00446095" w:rsidP="00446095">
      <w:pPr>
        <w:jc w:val="both"/>
        <w:rPr>
          <w:szCs w:val="24"/>
        </w:rPr>
      </w:pPr>
      <w:r w:rsidRPr="00446095">
        <w:rPr>
          <w:szCs w:val="24"/>
        </w:rPr>
        <w:t>________________________________________</w:t>
      </w:r>
    </w:p>
    <w:p w14:paraId="4A722CB7" w14:textId="77777777" w:rsidR="00446095" w:rsidRPr="00446095" w:rsidRDefault="00446095" w:rsidP="00446095">
      <w:pPr>
        <w:jc w:val="both"/>
        <w:rPr>
          <w:szCs w:val="24"/>
        </w:rPr>
      </w:pPr>
    </w:p>
    <w:p w14:paraId="192A4F49" w14:textId="77777777" w:rsidR="00446095" w:rsidRPr="00446095" w:rsidRDefault="00446095" w:rsidP="00446095">
      <w:pPr>
        <w:jc w:val="both"/>
        <w:rPr>
          <w:szCs w:val="24"/>
        </w:rPr>
      </w:pPr>
      <w:r w:rsidRPr="00446095">
        <w:rPr>
          <w:szCs w:val="24"/>
        </w:rPr>
        <w:t>Great question sir</w:t>
      </w:r>
    </w:p>
    <w:p w14:paraId="07305F17" w14:textId="77777777" w:rsidR="00446095" w:rsidRPr="00446095" w:rsidRDefault="00446095" w:rsidP="00446095">
      <w:pPr>
        <w:jc w:val="both"/>
        <w:rPr>
          <w:szCs w:val="24"/>
        </w:rPr>
      </w:pPr>
      <w:r w:rsidRPr="00446095">
        <w:rPr>
          <w:szCs w:val="24"/>
        </w:rPr>
        <w:t>I agree I think 15% is low</w:t>
      </w:r>
    </w:p>
    <w:p w14:paraId="65BCB857" w14:textId="77777777" w:rsidR="00446095" w:rsidRPr="00446095" w:rsidRDefault="00446095" w:rsidP="00446095">
      <w:pPr>
        <w:jc w:val="both"/>
        <w:rPr>
          <w:szCs w:val="24"/>
        </w:rPr>
      </w:pPr>
      <w:r w:rsidRPr="00446095">
        <w:rPr>
          <w:szCs w:val="24"/>
        </w:rPr>
        <w:t>One of the classic studies on this showed 36% at 10 years</w:t>
      </w:r>
    </w:p>
    <w:p w14:paraId="13F8CA49" w14:textId="5B52F11B" w:rsidR="00446095" w:rsidRPr="00446095" w:rsidRDefault="008E75FD" w:rsidP="00446095">
      <w:pPr>
        <w:jc w:val="both"/>
        <w:rPr>
          <w:szCs w:val="24"/>
        </w:rPr>
      </w:pPr>
      <w:hyperlink r:id="rId11" w:history="1">
        <w:r w:rsidR="00446095" w:rsidRPr="008E75FD">
          <w:rPr>
            <w:rStyle w:val="Hyperlink"/>
            <w:szCs w:val="24"/>
          </w:rPr>
          <w:t>https://pubmed.ncbi.nlm.nih.gov/15252099/</w:t>
        </w:r>
      </w:hyperlink>
    </w:p>
    <w:p w14:paraId="4A74FC7B" w14:textId="77777777" w:rsidR="00446095" w:rsidRPr="00446095" w:rsidRDefault="00446095" w:rsidP="00446095">
      <w:pPr>
        <w:jc w:val="both"/>
        <w:rPr>
          <w:szCs w:val="24"/>
        </w:rPr>
      </w:pPr>
      <w:r w:rsidRPr="00446095">
        <w:rPr>
          <w:szCs w:val="24"/>
        </w:rPr>
        <w:t>A newer study comparing MIS versus open fusion found similar rates of adjacent segment disease at 10 years - about 1 in 3 for both (surprising)</w:t>
      </w:r>
    </w:p>
    <w:p w14:paraId="0506C9BD" w14:textId="354EC62D" w:rsidR="00446095" w:rsidRPr="00446095" w:rsidRDefault="008E75FD" w:rsidP="00446095">
      <w:pPr>
        <w:jc w:val="both"/>
        <w:rPr>
          <w:szCs w:val="24"/>
        </w:rPr>
      </w:pPr>
      <w:hyperlink r:id="rId12" w:history="1">
        <w:r w:rsidR="00446095" w:rsidRPr="008E75FD">
          <w:rPr>
            <w:rStyle w:val="Hyperlink"/>
            <w:szCs w:val="24"/>
          </w:rPr>
          <w:t>https://pubmed.ncbi.nlm.nih.gov/34740178/</w:t>
        </w:r>
      </w:hyperlink>
    </w:p>
    <w:p w14:paraId="7075FCF9" w14:textId="77777777" w:rsidR="00446095" w:rsidRPr="00446095" w:rsidRDefault="00446095" w:rsidP="00446095">
      <w:pPr>
        <w:jc w:val="both"/>
        <w:rPr>
          <w:szCs w:val="24"/>
        </w:rPr>
      </w:pPr>
      <w:r w:rsidRPr="00446095">
        <w:rPr>
          <w:szCs w:val="24"/>
        </w:rPr>
        <w:t xml:space="preserve"> </w:t>
      </w:r>
    </w:p>
    <w:p w14:paraId="7976C7D3" w14:textId="77777777" w:rsidR="00446095" w:rsidRPr="00446095" w:rsidRDefault="00446095" w:rsidP="00446095">
      <w:pPr>
        <w:jc w:val="both"/>
        <w:rPr>
          <w:szCs w:val="24"/>
        </w:rPr>
      </w:pPr>
      <w:r w:rsidRPr="00446095">
        <w:rPr>
          <w:szCs w:val="24"/>
        </w:rPr>
        <w:t>________________________________________</w:t>
      </w:r>
    </w:p>
    <w:p w14:paraId="5CDCF518" w14:textId="77777777" w:rsidR="00446095" w:rsidRPr="00446095" w:rsidRDefault="00446095" w:rsidP="00446095">
      <w:pPr>
        <w:jc w:val="both"/>
        <w:rPr>
          <w:szCs w:val="24"/>
        </w:rPr>
      </w:pPr>
      <w:r w:rsidRPr="00446095">
        <w:rPr>
          <w:szCs w:val="24"/>
        </w:rPr>
        <w:t xml:space="preserve">For cervical fusion I will tell patients 1/5 at 10 years based on the </w:t>
      </w:r>
      <w:proofErr w:type="spellStart"/>
      <w:r w:rsidRPr="00446095">
        <w:rPr>
          <w:szCs w:val="24"/>
        </w:rPr>
        <w:t>Riew</w:t>
      </w:r>
      <w:proofErr w:type="spellEnd"/>
      <w:r w:rsidRPr="00446095">
        <w:rPr>
          <w:szCs w:val="24"/>
        </w:rPr>
        <w:t xml:space="preserve"> and </w:t>
      </w:r>
      <w:proofErr w:type="spellStart"/>
      <w:r w:rsidRPr="00446095">
        <w:rPr>
          <w:szCs w:val="24"/>
        </w:rPr>
        <w:t>Hillibrand</w:t>
      </w:r>
      <w:proofErr w:type="spellEnd"/>
      <w:r w:rsidRPr="00446095">
        <w:rPr>
          <w:szCs w:val="24"/>
        </w:rPr>
        <w:t xml:space="preserve"> studies</w:t>
      </w:r>
    </w:p>
    <w:p w14:paraId="23B374E9" w14:textId="77777777" w:rsidR="00446095" w:rsidRPr="00446095" w:rsidRDefault="00446095" w:rsidP="00446095">
      <w:pPr>
        <w:jc w:val="both"/>
        <w:rPr>
          <w:szCs w:val="24"/>
        </w:rPr>
      </w:pPr>
      <w:r w:rsidRPr="00446095">
        <w:rPr>
          <w:szCs w:val="24"/>
        </w:rPr>
        <w:t>About half of that for cervical disc replacement</w:t>
      </w:r>
    </w:p>
    <w:p w14:paraId="3698C44B" w14:textId="77777777" w:rsidR="00446095" w:rsidRPr="00446095" w:rsidRDefault="00446095" w:rsidP="00446095">
      <w:pPr>
        <w:jc w:val="both"/>
        <w:rPr>
          <w:szCs w:val="24"/>
        </w:rPr>
      </w:pPr>
      <w:r w:rsidRPr="00446095">
        <w:rPr>
          <w:szCs w:val="24"/>
        </w:rPr>
        <w:t>Hope that helps</w:t>
      </w:r>
    </w:p>
    <w:p w14:paraId="1DAF4D2F" w14:textId="77777777" w:rsidR="00446095" w:rsidRPr="00446095" w:rsidRDefault="00446095" w:rsidP="00446095">
      <w:pPr>
        <w:jc w:val="both"/>
        <w:rPr>
          <w:szCs w:val="24"/>
        </w:rPr>
      </w:pPr>
      <w:r w:rsidRPr="00446095">
        <w:rPr>
          <w:szCs w:val="24"/>
        </w:rPr>
        <w:t>________________________________________</w:t>
      </w:r>
    </w:p>
    <w:p w14:paraId="6930D90A" w14:textId="77777777" w:rsidR="00446095" w:rsidRPr="00446095" w:rsidRDefault="00446095" w:rsidP="00446095">
      <w:pPr>
        <w:jc w:val="both"/>
        <w:rPr>
          <w:szCs w:val="24"/>
        </w:rPr>
      </w:pPr>
      <w:r w:rsidRPr="00446095">
        <w:rPr>
          <w:szCs w:val="24"/>
        </w:rPr>
        <w:t>Comparison of adjacent segment disease after minimally invasive versus open lumbar fusion: a minimum 10-year follow-up - PubMed</w:t>
      </w:r>
    </w:p>
    <w:p w14:paraId="12035417" w14:textId="77777777" w:rsidR="00446095" w:rsidRPr="00446095" w:rsidRDefault="00446095" w:rsidP="00446095">
      <w:pPr>
        <w:jc w:val="both"/>
        <w:rPr>
          <w:szCs w:val="24"/>
        </w:rPr>
      </w:pPr>
      <w:r w:rsidRPr="00446095">
        <w:rPr>
          <w:szCs w:val="24"/>
        </w:rPr>
        <w:t>________________________________________</w:t>
      </w:r>
    </w:p>
    <w:p w14:paraId="24BDA8B6" w14:textId="77777777" w:rsidR="00446095" w:rsidRPr="00446095" w:rsidRDefault="00446095" w:rsidP="00446095">
      <w:pPr>
        <w:jc w:val="both"/>
        <w:rPr>
          <w:szCs w:val="24"/>
        </w:rPr>
      </w:pPr>
      <w:r w:rsidRPr="00446095">
        <w:rPr>
          <w:szCs w:val="24"/>
        </w:rPr>
        <w:t>I usually use 10% for every 10 yrs. His L4,5 resulted in loss of lordosis that puts additional load on L3,4 facet</w:t>
      </w:r>
    </w:p>
    <w:p w14:paraId="1AFE03FE" w14:textId="77777777" w:rsidR="00446095" w:rsidRPr="00446095" w:rsidRDefault="00446095" w:rsidP="00446095">
      <w:pPr>
        <w:jc w:val="both"/>
        <w:rPr>
          <w:szCs w:val="24"/>
        </w:rPr>
      </w:pPr>
      <w:r w:rsidRPr="00446095">
        <w:rPr>
          <w:szCs w:val="24"/>
        </w:rPr>
        <w:t>________________________________________</w:t>
      </w:r>
    </w:p>
    <w:p w14:paraId="1DEBF1C1" w14:textId="77777777" w:rsidR="00446095" w:rsidRPr="00446095" w:rsidRDefault="00446095" w:rsidP="00446095">
      <w:pPr>
        <w:jc w:val="both"/>
        <w:rPr>
          <w:szCs w:val="24"/>
        </w:rPr>
      </w:pPr>
      <w:r w:rsidRPr="00446095">
        <w:rPr>
          <w:szCs w:val="24"/>
        </w:rPr>
        <w:t>Studies result vary, I usually quote 15% in 15 years just to make it easier for patients to remember. I reality I hate to agree it’s higher like you mentioned.</w:t>
      </w:r>
    </w:p>
    <w:p w14:paraId="7FA641B7" w14:textId="77777777" w:rsidR="00446095" w:rsidRPr="00446095" w:rsidRDefault="00446095" w:rsidP="00446095">
      <w:pPr>
        <w:jc w:val="both"/>
        <w:rPr>
          <w:szCs w:val="24"/>
        </w:rPr>
      </w:pPr>
      <w:r w:rsidRPr="00446095">
        <w:rPr>
          <w:szCs w:val="24"/>
        </w:rPr>
        <w:t>________________________________________</w:t>
      </w:r>
    </w:p>
    <w:p w14:paraId="28340A0F" w14:textId="77777777" w:rsidR="00446095" w:rsidRPr="00446095" w:rsidRDefault="00446095" w:rsidP="00446095">
      <w:pPr>
        <w:jc w:val="both"/>
        <w:rPr>
          <w:szCs w:val="24"/>
        </w:rPr>
      </w:pPr>
      <w:r w:rsidRPr="00446095">
        <w:rPr>
          <w:szCs w:val="24"/>
        </w:rPr>
        <w:t xml:space="preserve">The classically quoted paper states 15% at 5yrs, and 35% at 10 </w:t>
      </w:r>
      <w:proofErr w:type="spellStart"/>
      <w:r w:rsidRPr="00446095">
        <w:rPr>
          <w:szCs w:val="24"/>
        </w:rPr>
        <w:t>yrs</w:t>
      </w:r>
      <w:proofErr w:type="spellEnd"/>
      <w:r w:rsidRPr="00446095">
        <w:rPr>
          <w:szCs w:val="24"/>
        </w:rPr>
        <w:t xml:space="preserve"> for single level OPEN lumbar fusion. This may be different with use of minimally invasive techniques, although that statement is speculative.</w:t>
      </w:r>
    </w:p>
    <w:p w14:paraId="6F72AF99" w14:textId="77777777" w:rsidR="00446095" w:rsidRPr="00446095" w:rsidRDefault="00446095" w:rsidP="00446095">
      <w:pPr>
        <w:jc w:val="both"/>
        <w:rPr>
          <w:szCs w:val="24"/>
        </w:rPr>
      </w:pPr>
      <w:r w:rsidRPr="00446095">
        <w:rPr>
          <w:szCs w:val="24"/>
        </w:rPr>
        <w:t>________________________________________</w:t>
      </w:r>
    </w:p>
    <w:p w14:paraId="1DC76BBB" w14:textId="77777777" w:rsidR="00446095" w:rsidRPr="00446095" w:rsidRDefault="00446095" w:rsidP="00446095">
      <w:pPr>
        <w:jc w:val="both"/>
        <w:rPr>
          <w:szCs w:val="24"/>
        </w:rPr>
      </w:pPr>
      <w:r w:rsidRPr="00446095">
        <w:rPr>
          <w:szCs w:val="24"/>
        </w:rPr>
        <w:t xml:space="preserve">This </w:t>
      </w:r>
      <w:proofErr w:type="gramStart"/>
      <w:r w:rsidRPr="00446095">
        <w:rPr>
          <w:szCs w:val="24"/>
        </w:rPr>
        <w:t>particular patient</w:t>
      </w:r>
      <w:proofErr w:type="gramEnd"/>
      <w:r w:rsidRPr="00446095">
        <w:rPr>
          <w:szCs w:val="24"/>
        </w:rPr>
        <w:t xml:space="preserve"> has concerning radiographic features, as stated by someone else already, namely loss of L4-S1 lordosis which the modern deformity literature says should be roughly 35 degrees. This patient already has a retrolisthesis at L3-4 which may herald more issues in the future.</w:t>
      </w:r>
    </w:p>
    <w:p w14:paraId="067CB530" w14:textId="77777777" w:rsidR="00446095" w:rsidRPr="00446095" w:rsidRDefault="00446095" w:rsidP="00446095">
      <w:pPr>
        <w:jc w:val="both"/>
        <w:rPr>
          <w:szCs w:val="24"/>
        </w:rPr>
      </w:pPr>
      <w:r w:rsidRPr="00446095">
        <w:rPr>
          <w:szCs w:val="24"/>
        </w:rPr>
        <w:t>Lastly, I would say that reoperation rates are not necessarily the best outcome measure to evaluate surgical success vs failure. The decision to reoperate involves multiple stakeholders (</w:t>
      </w:r>
      <w:proofErr w:type="spellStart"/>
      <w:r w:rsidRPr="00446095">
        <w:rPr>
          <w:szCs w:val="24"/>
        </w:rPr>
        <w:t>ie</w:t>
      </w:r>
      <w:proofErr w:type="spellEnd"/>
      <w:r w:rsidRPr="00446095">
        <w:rPr>
          <w:szCs w:val="24"/>
        </w:rPr>
        <w:t xml:space="preserve">: Does the surgeon want to reoperate, or feel comfortable with revisions? Does the patient want to go through </w:t>
      </w:r>
      <w:r w:rsidRPr="00446095">
        <w:rPr>
          <w:szCs w:val="24"/>
        </w:rPr>
        <w:lastRenderedPageBreak/>
        <w:t>another surgery when the first one didn't provide durable results? Does the system allow for expedient care?) Be careful equating low reoperation rates with clinical success, this is a common pitfall.</w:t>
      </w:r>
    </w:p>
    <w:p w14:paraId="793F9427" w14:textId="77777777" w:rsidR="00446095" w:rsidRPr="00446095" w:rsidRDefault="00446095" w:rsidP="00446095">
      <w:pPr>
        <w:jc w:val="both"/>
        <w:rPr>
          <w:szCs w:val="24"/>
        </w:rPr>
      </w:pPr>
      <w:r w:rsidRPr="00446095">
        <w:rPr>
          <w:szCs w:val="24"/>
        </w:rPr>
        <w:t>________________________________________</w:t>
      </w:r>
    </w:p>
    <w:p w14:paraId="17239255" w14:textId="77777777" w:rsidR="00446095" w:rsidRPr="00446095" w:rsidRDefault="00446095" w:rsidP="00446095">
      <w:pPr>
        <w:jc w:val="both"/>
        <w:rPr>
          <w:szCs w:val="24"/>
        </w:rPr>
      </w:pPr>
      <w:r w:rsidRPr="00446095">
        <w:rPr>
          <w:szCs w:val="24"/>
        </w:rPr>
        <w:t xml:space="preserve">Agreed. Not so clear cut. And this is getting into the weeds, but I had hoped that newer MIS data would showcase lower rates of ASD. But the latest literature suggests otherwise -- with the caveat that 10-year follow-up data intrinsically means that the patients being followed were treated potentially utilizing slightly outdated techniques / theoretical understandings from at least 10 years prior. And we know how much the science has advanced in the last 10 years alone. Ultimately, it seems surgical technique, sagittal alignment, lumbar harmony, along with patient specific factors like </w:t>
      </w:r>
      <w:proofErr w:type="spellStart"/>
      <w:r w:rsidRPr="00446095">
        <w:rPr>
          <w:szCs w:val="24"/>
        </w:rPr>
        <w:t>comorbs</w:t>
      </w:r>
      <w:proofErr w:type="spellEnd"/>
      <w:r w:rsidRPr="00446095">
        <w:rPr>
          <w:szCs w:val="24"/>
        </w:rPr>
        <w:t xml:space="preserve">, lifestyle choices, as well as physical conditioning, all likely affect one's risk of developing symptomatic adjacent segment disease. It is not as simple as fusion versus no fusion. Hopefully, application of these </w:t>
      </w:r>
      <w:proofErr w:type="gramStart"/>
      <w:r w:rsidRPr="00446095">
        <w:rPr>
          <w:szCs w:val="24"/>
        </w:rPr>
        <w:t>modern day</w:t>
      </w:r>
      <w:proofErr w:type="gramEnd"/>
      <w:r w:rsidRPr="00446095">
        <w:rPr>
          <w:szCs w:val="24"/>
        </w:rPr>
        <w:t xml:space="preserve"> understandings and techniques to our patient's surgeries today will translate to lower rates of ASD in the future when compared to historical rates. And as one of the other commenters suggests, I think pushing for patient involvement in their back health is so huge. I tell my surgical patients that my job is easy, theirs is the hard one if they want to keep their back as healthy as possible moving forward.</w:t>
      </w:r>
    </w:p>
    <w:p w14:paraId="4AB18B96" w14:textId="77777777" w:rsidR="00446095" w:rsidRPr="00446095" w:rsidRDefault="00446095" w:rsidP="00446095">
      <w:pPr>
        <w:jc w:val="both"/>
        <w:rPr>
          <w:szCs w:val="24"/>
        </w:rPr>
      </w:pPr>
      <w:r w:rsidRPr="00446095">
        <w:rPr>
          <w:szCs w:val="24"/>
        </w:rPr>
        <w:t>________________________________________</w:t>
      </w:r>
    </w:p>
    <w:p w14:paraId="1844E8FD" w14:textId="77777777" w:rsidR="00446095" w:rsidRPr="00446095" w:rsidRDefault="00446095" w:rsidP="00446095">
      <w:pPr>
        <w:jc w:val="both"/>
        <w:rPr>
          <w:szCs w:val="24"/>
        </w:rPr>
      </w:pPr>
      <w:r w:rsidRPr="00446095">
        <w:rPr>
          <w:szCs w:val="24"/>
        </w:rPr>
        <w:t xml:space="preserve">Thank you for sharing this Dr Steven Shaw but as a medical device rep in the spine industry, I’ve asked my surgeons about this subject millions of times and the answer they gave me is always that there are so many </w:t>
      </w:r>
      <w:proofErr w:type="gramStart"/>
      <w:r w:rsidRPr="00446095">
        <w:rPr>
          <w:szCs w:val="24"/>
        </w:rPr>
        <w:t>variable</w:t>
      </w:r>
      <w:proofErr w:type="gramEnd"/>
      <w:r w:rsidRPr="00446095">
        <w:rPr>
          <w:szCs w:val="24"/>
        </w:rPr>
        <w:t xml:space="preserve"> depending on the initial spine problem, your age and bone health, and the number of levels fused. In general, the risk is 2-14% per year in the lumbar spine.</w:t>
      </w:r>
    </w:p>
    <w:p w14:paraId="26AAF02D" w14:textId="77777777" w:rsidR="00446095" w:rsidRPr="00446095" w:rsidRDefault="00446095" w:rsidP="00446095">
      <w:pPr>
        <w:jc w:val="both"/>
        <w:rPr>
          <w:szCs w:val="24"/>
        </w:rPr>
      </w:pPr>
      <w:r w:rsidRPr="00446095">
        <w:rPr>
          <w:szCs w:val="24"/>
        </w:rPr>
        <w:t>________________________________________</w:t>
      </w:r>
    </w:p>
    <w:p w14:paraId="06CCC604" w14:textId="77777777" w:rsidR="00446095" w:rsidRPr="00446095" w:rsidRDefault="00446095" w:rsidP="00446095">
      <w:pPr>
        <w:jc w:val="both"/>
        <w:rPr>
          <w:szCs w:val="24"/>
        </w:rPr>
      </w:pPr>
      <w:r w:rsidRPr="00446095">
        <w:rPr>
          <w:szCs w:val="24"/>
        </w:rPr>
        <w:t>I personally would argue that the overall rate is what you describe but I frame it differently. I typically use those numbers for no proactive health maintenance and give them ways of reducing those risks.</w:t>
      </w:r>
    </w:p>
    <w:p w14:paraId="78D54EDB" w14:textId="77777777" w:rsidR="00446095" w:rsidRPr="00446095" w:rsidRDefault="00446095" w:rsidP="00446095">
      <w:pPr>
        <w:jc w:val="both"/>
        <w:rPr>
          <w:szCs w:val="24"/>
        </w:rPr>
      </w:pPr>
      <w:r w:rsidRPr="00446095">
        <w:rPr>
          <w:szCs w:val="24"/>
        </w:rPr>
        <w:t>Best nutrition, weight optimization, agility and flexibility training, a solid aerobic fitness commitment, a traumatic core and torso maintenance program, smart vertical load decisions, and postural maintenance.</w:t>
      </w:r>
    </w:p>
    <w:p w14:paraId="2A3F2BBC" w14:textId="77777777" w:rsidR="00446095" w:rsidRPr="00446095" w:rsidRDefault="00446095" w:rsidP="00446095">
      <w:pPr>
        <w:jc w:val="both"/>
        <w:rPr>
          <w:szCs w:val="24"/>
        </w:rPr>
      </w:pPr>
      <w:r w:rsidRPr="00446095">
        <w:rPr>
          <w:szCs w:val="24"/>
        </w:rPr>
        <w:t xml:space="preserve">I have three groups in several thousand lumbar fusion patients and the group that adheres to proactive health is significantly less than 5%, particularly those who showed up with a </w:t>
      </w:r>
      <w:proofErr w:type="gramStart"/>
      <w:r w:rsidRPr="00446095">
        <w:rPr>
          <w:szCs w:val="24"/>
        </w:rPr>
        <w:t>single segment spondylolisthesis vs multilevel degenerative changes</w:t>
      </w:r>
      <w:proofErr w:type="gramEnd"/>
      <w:r w:rsidRPr="00446095">
        <w:rPr>
          <w:szCs w:val="24"/>
        </w:rPr>
        <w:t xml:space="preserve"> at principle event. To me that person should avoid fusion </w:t>
      </w:r>
      <w:proofErr w:type="gramStart"/>
      <w:r w:rsidRPr="00446095">
        <w:rPr>
          <w:szCs w:val="24"/>
        </w:rPr>
        <w:t>if at all possible</w:t>
      </w:r>
      <w:proofErr w:type="gramEnd"/>
      <w:r w:rsidRPr="00446095">
        <w:rPr>
          <w:szCs w:val="24"/>
        </w:rPr>
        <w:t>.</w:t>
      </w:r>
    </w:p>
    <w:p w14:paraId="547D8EA8" w14:textId="77777777" w:rsidR="00446095" w:rsidRPr="00446095" w:rsidRDefault="00446095" w:rsidP="00446095">
      <w:pPr>
        <w:jc w:val="both"/>
        <w:rPr>
          <w:szCs w:val="24"/>
        </w:rPr>
      </w:pPr>
      <w:r w:rsidRPr="00446095">
        <w:rPr>
          <w:szCs w:val="24"/>
        </w:rPr>
        <w:t>________________________________________</w:t>
      </w:r>
    </w:p>
    <w:p w14:paraId="0FF5FA44" w14:textId="6FD6A82F" w:rsidR="00F545E0" w:rsidRPr="00F545E0" w:rsidRDefault="00446095" w:rsidP="00446095">
      <w:pPr>
        <w:jc w:val="both"/>
        <w:rPr>
          <w:szCs w:val="24"/>
        </w:rPr>
      </w:pPr>
      <w:r w:rsidRPr="00446095">
        <w:rPr>
          <w:szCs w:val="24"/>
        </w:rPr>
        <w:t xml:space="preserve">L5-S1 = severe </w:t>
      </w:r>
      <w:proofErr w:type="spellStart"/>
      <w:r w:rsidRPr="00446095">
        <w:rPr>
          <w:szCs w:val="24"/>
        </w:rPr>
        <w:t>hypolordosis</w:t>
      </w:r>
      <w:proofErr w:type="spellEnd"/>
      <w:r w:rsidRPr="00446095">
        <w:rPr>
          <w:szCs w:val="24"/>
        </w:rPr>
        <w:t xml:space="preserve">. L4-L5 = fixed in </w:t>
      </w:r>
      <w:proofErr w:type="spellStart"/>
      <w:r w:rsidRPr="00446095">
        <w:rPr>
          <w:szCs w:val="24"/>
        </w:rPr>
        <w:t>hypolordosis</w:t>
      </w:r>
      <w:proofErr w:type="spellEnd"/>
      <w:r w:rsidRPr="00446095">
        <w:rPr>
          <w:szCs w:val="24"/>
        </w:rPr>
        <w:t>. Already compensating on L3-L4 (</w:t>
      </w:r>
      <w:proofErr w:type="spellStart"/>
      <w:r w:rsidRPr="00446095">
        <w:rPr>
          <w:szCs w:val="24"/>
        </w:rPr>
        <w:t>hyperlordosis</w:t>
      </w:r>
      <w:proofErr w:type="spellEnd"/>
      <w:r w:rsidRPr="00446095">
        <w:rPr>
          <w:szCs w:val="24"/>
        </w:rPr>
        <w:t xml:space="preserve"> for this level compared with the rest, 40% of lordosis should be on L5-S1, 27% on L4-L5). These biomechanical stresses will probably be a major factor in generating ASD for this </w:t>
      </w:r>
      <w:proofErr w:type="gramStart"/>
      <w:r w:rsidRPr="00446095">
        <w:rPr>
          <w:szCs w:val="24"/>
        </w:rPr>
        <w:t>patient</w:t>
      </w:r>
      <w:proofErr w:type="gramEnd"/>
      <w:r w:rsidRPr="00446095">
        <w:rPr>
          <w:szCs w:val="24"/>
        </w:rPr>
        <w:t xml:space="preserve"> I think.</w:t>
      </w:r>
    </w:p>
    <w:p w14:paraId="792D6C78" w14:textId="53B581A2" w:rsidR="005A0C7B" w:rsidRPr="00D73B4B" w:rsidRDefault="005A0C7B" w:rsidP="00F545E0">
      <w:pPr>
        <w:rPr>
          <w:sz w:val="27"/>
          <w:szCs w:val="27"/>
        </w:rPr>
      </w:pPr>
    </w:p>
    <w:sectPr w:rsidR="005A0C7B" w:rsidRPr="00D73B4B" w:rsidSect="00E379C5">
      <w:headerReference w:type="default" r:id="rId13"/>
      <w:footerReference w:type="default" r:id="rId14"/>
      <w:pgSz w:w="12240" w:h="15840"/>
      <w:pgMar w:top="1440" w:right="99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BDDAC" w14:textId="77777777" w:rsidR="00863905" w:rsidRDefault="00863905" w:rsidP="000D2081">
      <w:r>
        <w:separator/>
      </w:r>
    </w:p>
  </w:endnote>
  <w:endnote w:type="continuationSeparator" w:id="0">
    <w:p w14:paraId="3B95CEF9" w14:textId="77777777" w:rsidR="00863905" w:rsidRDefault="00863905"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073D" w14:textId="77777777" w:rsidR="00863905" w:rsidRDefault="00863905"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61CA77CE" wp14:editId="2F62F3D3">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F694B37"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14:paraId="369C72AC" w14:textId="77777777" w:rsidR="00863905" w:rsidRPr="00AC28FF" w:rsidRDefault="00863905"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r>
      <w:rPr>
        <w:color w:val="595959" w:themeColor="text1" w:themeTint="A6"/>
        <w:sz w:val="36"/>
        <w:szCs w:val="36"/>
      </w:rPr>
      <w:t xml:space="preserve"> </w:t>
    </w:r>
    <w:r w:rsidRPr="00AC28FF">
      <w:rPr>
        <w:color w:val="595959" w:themeColor="text1" w:themeTint="A6"/>
        <w:sz w:val="36"/>
        <w:szCs w:val="36"/>
      </w:rPr>
      <w:t>●</w:t>
    </w:r>
    <w:r>
      <w:rPr>
        <w:color w:val="595959" w:themeColor="text1" w:themeTint="A6"/>
        <w:sz w:val="36"/>
        <w:szCs w:val="36"/>
      </w:rPr>
      <w:t xml:space="preserve"> Middletown </w:t>
    </w:r>
    <w:r w:rsidRPr="00AC28FF">
      <w:rPr>
        <w:color w:val="595959" w:themeColor="text1" w:themeTint="A6"/>
        <w:sz w:val="36"/>
        <w:szCs w:val="36"/>
      </w:rPr>
      <w:t>●</w:t>
    </w:r>
    <w:r>
      <w:rPr>
        <w:color w:val="595959" w:themeColor="text1" w:themeTint="A6"/>
        <w:sz w:val="36"/>
        <w:szCs w:val="36"/>
      </w:rPr>
      <w:t>Bloomfield</w:t>
    </w:r>
  </w:p>
  <w:p w14:paraId="2AE7FD36" w14:textId="77777777" w:rsidR="00863905" w:rsidRPr="00AC28FF" w:rsidRDefault="00863905"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14:paraId="20E9DA75" w14:textId="77777777" w:rsidR="00863905" w:rsidRPr="00AC28FF" w:rsidRDefault="00863905"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F101" w14:textId="77777777" w:rsidR="00863905" w:rsidRDefault="00863905" w:rsidP="000D2081">
      <w:r>
        <w:separator/>
      </w:r>
    </w:p>
  </w:footnote>
  <w:footnote w:type="continuationSeparator" w:id="0">
    <w:p w14:paraId="261016EA" w14:textId="77777777" w:rsidR="00863905" w:rsidRDefault="00863905" w:rsidP="000D2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E573" w14:textId="77777777" w:rsidR="00863905" w:rsidRDefault="00863905"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37D8E7E3" wp14:editId="713A19BF">
          <wp:simplePos x="0" y="0"/>
          <wp:positionH relativeFrom="column">
            <wp:posOffset>1063625</wp:posOffset>
          </wp:positionH>
          <wp:positionV relativeFrom="paragraph">
            <wp:posOffset>-318770</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2" name="Picture 2"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13049" w14:textId="77777777" w:rsidR="00863905" w:rsidRDefault="00863905" w:rsidP="000D2081">
    <w:pPr>
      <w:ind w:left="-810" w:right="-990"/>
      <w:jc w:val="center"/>
      <w:rPr>
        <w:b/>
        <w:color w:val="FF0000"/>
        <w:sz w:val="18"/>
        <w:szCs w:val="18"/>
      </w:rPr>
    </w:pPr>
  </w:p>
  <w:p w14:paraId="0AC6539D" w14:textId="77777777" w:rsidR="00863905" w:rsidRDefault="00863905" w:rsidP="000D2081">
    <w:pPr>
      <w:ind w:left="-810" w:right="-990"/>
      <w:jc w:val="center"/>
      <w:rPr>
        <w:b/>
        <w:color w:val="FF0000"/>
        <w:sz w:val="18"/>
        <w:szCs w:val="18"/>
      </w:rPr>
    </w:pPr>
  </w:p>
  <w:p w14:paraId="75826CF9" w14:textId="77777777" w:rsidR="00863905" w:rsidRDefault="00863905" w:rsidP="000D2081">
    <w:pPr>
      <w:ind w:left="-810" w:right="-990"/>
      <w:jc w:val="center"/>
      <w:rPr>
        <w:b/>
        <w:color w:val="FF0000"/>
        <w:sz w:val="18"/>
        <w:szCs w:val="18"/>
      </w:rPr>
    </w:pPr>
  </w:p>
  <w:p w14:paraId="279B7C7A" w14:textId="77777777" w:rsidR="00863905" w:rsidRDefault="00863905" w:rsidP="00AF7111">
    <w:pPr>
      <w:tabs>
        <w:tab w:val="left" w:pos="1170"/>
      </w:tabs>
      <w:ind w:left="-810" w:right="-990"/>
      <w:rPr>
        <w:b/>
        <w:color w:val="FF0000"/>
        <w:sz w:val="18"/>
        <w:szCs w:val="18"/>
      </w:rPr>
    </w:pPr>
    <w:r>
      <w:rPr>
        <w:b/>
        <w:color w:val="FF0000"/>
        <w:sz w:val="18"/>
        <w:szCs w:val="18"/>
      </w:rPr>
      <w:tab/>
    </w:r>
  </w:p>
  <w:p w14:paraId="13031D14" w14:textId="77777777" w:rsidR="00863905" w:rsidRDefault="00863905" w:rsidP="00AF7111">
    <w:pPr>
      <w:tabs>
        <w:tab w:val="left" w:pos="1170"/>
      </w:tabs>
      <w:ind w:left="-810" w:right="-990"/>
      <w:rPr>
        <w:b/>
        <w:color w:val="FF0000"/>
        <w:sz w:val="18"/>
        <w:szCs w:val="18"/>
      </w:rPr>
    </w:pPr>
  </w:p>
  <w:p w14:paraId="797F4A0D" w14:textId="77777777" w:rsidR="00863905" w:rsidRDefault="00863905" w:rsidP="000D2081">
    <w:pPr>
      <w:ind w:left="-810" w:right="-990"/>
      <w:jc w:val="center"/>
      <w:rPr>
        <w:b/>
        <w:color w:val="FF0000"/>
        <w:sz w:val="18"/>
        <w:szCs w:val="18"/>
      </w:rPr>
    </w:pPr>
  </w:p>
  <w:p w14:paraId="2348C0FF" w14:textId="77777777" w:rsidR="00863905" w:rsidRDefault="00863905"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42CF1F52" wp14:editId="1EF16DAC">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058F2"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" strokeweight="3pt"/>
          </w:pict>
        </mc:Fallback>
      </mc:AlternateContent>
    </w:r>
    <w:r>
      <w:rPr>
        <w:b/>
        <w:color w:val="FF0000"/>
        <w:sz w:val="18"/>
        <w:szCs w:val="18"/>
      </w:rPr>
      <w:tab/>
    </w:r>
    <w:r>
      <w:rPr>
        <w:b/>
        <w:color w:val="FF0000"/>
        <w:sz w:val="18"/>
        <w:szCs w:val="18"/>
      </w:rPr>
      <w:tab/>
    </w:r>
  </w:p>
  <w:p w14:paraId="3920BC3F" w14:textId="30EBC0CB" w:rsidR="00863905" w:rsidRPr="003A3862" w:rsidRDefault="00863905" w:rsidP="000D2081">
    <w:pPr>
      <w:ind w:left="-810" w:right="-990"/>
      <w:jc w:val="center"/>
      <w:rPr>
        <w:i/>
        <w:color w:val="FF0000"/>
        <w:sz w:val="80"/>
        <w:szCs w:val="80"/>
      </w:rPr>
    </w:pPr>
    <w:r w:rsidRPr="00C534FD">
      <w:rPr>
        <w:b/>
        <w:color w:val="FF0000"/>
        <w:sz w:val="18"/>
        <w:szCs w:val="18"/>
      </w:rPr>
      <w:t>A MEDICAL-LEGAL NEWSLETTER FOR PERSONAL INJURY</w:t>
    </w:r>
    <w:r w:rsidRPr="00FF1FCF">
      <w:rPr>
        <w:b/>
        <w:color w:val="FF0000"/>
        <w:sz w:val="18"/>
        <w:szCs w:val="18"/>
      </w:rPr>
      <w:t xml:space="preserve"> </w:t>
    </w:r>
    <w:r w:rsidRPr="00C534FD">
      <w:rPr>
        <w:b/>
        <w:color w:val="FF0000"/>
        <w:sz w:val="18"/>
        <w:szCs w:val="18"/>
      </w:rPr>
      <w:t>ATT</w:t>
    </w:r>
    <w:r>
      <w:rPr>
        <w:b/>
        <w:color w:val="FF0000"/>
        <w:sz w:val="18"/>
        <w:szCs w:val="18"/>
      </w:rPr>
      <w:t>O</w:t>
    </w:r>
    <w:r w:rsidRPr="00C534FD">
      <w:rPr>
        <w:b/>
        <w:color w:val="FF0000"/>
        <w:sz w:val="18"/>
        <w:szCs w:val="18"/>
      </w:rPr>
      <w:t xml:space="preserve">RNEYS BY DR. STEVEN </w:t>
    </w:r>
    <w:proofErr w:type="gramStart"/>
    <w:r w:rsidRPr="00C534FD">
      <w:rPr>
        <w:b/>
        <w:color w:val="FF0000"/>
        <w:sz w:val="18"/>
        <w:szCs w:val="18"/>
      </w:rPr>
      <w:t>W.SHAW</w:t>
    </w:r>
    <w:proofErr w:type="gramEnd"/>
    <w:r w:rsidRPr="00C534FD">
      <w:rPr>
        <w:b/>
        <w:color w:val="FF0000"/>
        <w:sz w:val="18"/>
        <w:szCs w:val="18"/>
      </w:rPr>
      <w:t xml:space="preserve"> </w:t>
    </w:r>
  </w:p>
  <w:p w14:paraId="37E28CE9" w14:textId="77777777" w:rsidR="00863905" w:rsidRDefault="00863905"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2F093401" wp14:editId="0F1CE002">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CBA6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"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72B"/>
    <w:multiLevelType w:val="multilevel"/>
    <w:tmpl w:val="50CC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95E03"/>
    <w:multiLevelType w:val="multilevel"/>
    <w:tmpl w:val="C498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45811"/>
    <w:multiLevelType w:val="multilevel"/>
    <w:tmpl w:val="99FE3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066B7"/>
    <w:multiLevelType w:val="hybridMultilevel"/>
    <w:tmpl w:val="A34AFE4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7E616A7"/>
    <w:multiLevelType w:val="hybridMultilevel"/>
    <w:tmpl w:val="C4F0B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F0DCE"/>
    <w:multiLevelType w:val="hybridMultilevel"/>
    <w:tmpl w:val="5F34B518"/>
    <w:lvl w:ilvl="0" w:tplc="6B5C203A">
      <w:numFmt w:val="bullet"/>
      <w:lvlText w:val="-"/>
      <w:lvlJc w:val="left"/>
      <w:pPr>
        <w:ind w:left="0" w:hanging="360"/>
      </w:pPr>
      <w:rPr>
        <w:rFonts w:ascii="Arial" w:eastAsiaTheme="minorHAnsi"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2272C"/>
    <w:multiLevelType w:val="hybridMultilevel"/>
    <w:tmpl w:val="F014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C6EB8"/>
    <w:multiLevelType w:val="hybridMultilevel"/>
    <w:tmpl w:val="2FCADFA4"/>
    <w:lvl w:ilvl="0" w:tplc="7196271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5F3261"/>
    <w:multiLevelType w:val="hybridMultilevel"/>
    <w:tmpl w:val="54F00B38"/>
    <w:lvl w:ilvl="0" w:tplc="B694C62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8FA177C"/>
    <w:multiLevelType w:val="hybridMultilevel"/>
    <w:tmpl w:val="2390ACAC"/>
    <w:lvl w:ilvl="0" w:tplc="6B5C203A">
      <w:numFmt w:val="bullet"/>
      <w:lvlText w:val="-"/>
      <w:lvlJc w:val="left"/>
      <w:pPr>
        <w:ind w:left="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BC94CB2"/>
    <w:multiLevelType w:val="hybridMultilevel"/>
    <w:tmpl w:val="416658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A2355"/>
    <w:multiLevelType w:val="multilevel"/>
    <w:tmpl w:val="3692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A597D"/>
    <w:multiLevelType w:val="hybridMultilevel"/>
    <w:tmpl w:val="B96E4C88"/>
    <w:lvl w:ilvl="0" w:tplc="CF7EAC8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8" w15:restartNumberingAfterBreak="0">
    <w:nsid w:val="53FC408E"/>
    <w:multiLevelType w:val="multilevel"/>
    <w:tmpl w:val="ABC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841B4"/>
    <w:multiLevelType w:val="hybridMultilevel"/>
    <w:tmpl w:val="D286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F842F6"/>
    <w:multiLevelType w:val="multilevel"/>
    <w:tmpl w:val="11A0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E96F4E"/>
    <w:multiLevelType w:val="hybridMultilevel"/>
    <w:tmpl w:val="492A1D6E"/>
    <w:lvl w:ilvl="0" w:tplc="0EA648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5134CD"/>
    <w:multiLevelType w:val="multilevel"/>
    <w:tmpl w:val="9D4C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1C6B1E"/>
    <w:multiLevelType w:val="hybridMultilevel"/>
    <w:tmpl w:val="33A80EA6"/>
    <w:lvl w:ilvl="0" w:tplc="3D7AF930">
      <w:numFmt w:val="bullet"/>
      <w:lvlText w:val=""/>
      <w:lvlJc w:val="left"/>
      <w:pPr>
        <w:ind w:left="720" w:hanging="360"/>
      </w:pPr>
      <w:rPr>
        <w:rFonts w:ascii="Symbol" w:eastAsiaTheme="minorHAnsi" w:hAnsi="Symbol" w:cs="Aria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844E01"/>
    <w:multiLevelType w:val="hybridMultilevel"/>
    <w:tmpl w:val="9A2E4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A167DAA"/>
    <w:multiLevelType w:val="hybridMultilevel"/>
    <w:tmpl w:val="FB080C86"/>
    <w:lvl w:ilvl="0" w:tplc="5764E94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7CE22D0F"/>
    <w:multiLevelType w:val="multilevel"/>
    <w:tmpl w:val="8444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7D62FB"/>
    <w:multiLevelType w:val="hybridMultilevel"/>
    <w:tmpl w:val="D760FBEE"/>
    <w:lvl w:ilvl="0" w:tplc="6B5C203A">
      <w:numFmt w:val="bullet"/>
      <w:lvlText w:val="-"/>
      <w:lvlJc w:val="left"/>
      <w:pPr>
        <w:ind w:left="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7F826C2B"/>
    <w:multiLevelType w:val="hybridMultilevel"/>
    <w:tmpl w:val="9AB6B426"/>
    <w:lvl w:ilvl="0" w:tplc="3B360316">
      <w:numFmt w:val="bullet"/>
      <w:lvlText w:val="-"/>
      <w:lvlJc w:val="left"/>
      <w:pPr>
        <w:ind w:left="-360" w:hanging="360"/>
      </w:pPr>
      <w:rPr>
        <w:rFonts w:ascii="Cambria" w:eastAsiaTheme="majorEastAsia" w:hAnsi="Cambria" w:cstheme="majorBidi" w:hint="default"/>
        <w:b/>
        <w:color w:val="365F91" w:themeColor="accent1" w:themeShade="BF"/>
        <w:sz w:val="2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7"/>
  </w:num>
  <w:num w:numId="2">
    <w:abstractNumId w:val="10"/>
  </w:num>
  <w:num w:numId="3">
    <w:abstractNumId w:val="8"/>
  </w:num>
  <w:num w:numId="4">
    <w:abstractNumId w:val="23"/>
  </w:num>
  <w:num w:numId="5">
    <w:abstractNumId w:val="15"/>
  </w:num>
  <w:num w:numId="6">
    <w:abstractNumId w:val="19"/>
  </w:num>
  <w:num w:numId="7">
    <w:abstractNumId w:val="6"/>
  </w:num>
  <w:num w:numId="8">
    <w:abstractNumId w:val="11"/>
  </w:num>
  <w:num w:numId="9">
    <w:abstractNumId w:val="27"/>
  </w:num>
  <w:num w:numId="10">
    <w:abstractNumId w:val="30"/>
  </w:num>
  <w:num w:numId="11">
    <w:abstractNumId w:val="16"/>
  </w:num>
  <w:num w:numId="12">
    <w:abstractNumId w:val="9"/>
  </w:num>
  <w:num w:numId="13">
    <w:abstractNumId w:val="1"/>
  </w:num>
  <w:num w:numId="14">
    <w:abstractNumId w:val="14"/>
  </w:num>
  <w:num w:numId="15">
    <w:abstractNumId w:val="18"/>
  </w:num>
  <w:num w:numId="16">
    <w:abstractNumId w:val="2"/>
  </w:num>
  <w:num w:numId="17">
    <w:abstractNumId w:val="29"/>
  </w:num>
  <w:num w:numId="18">
    <w:abstractNumId w:val="12"/>
  </w:num>
  <w:num w:numId="19">
    <w:abstractNumId w:val="5"/>
  </w:num>
  <w:num w:numId="20">
    <w:abstractNumId w:val="25"/>
  </w:num>
  <w:num w:numId="21">
    <w:abstractNumId w:val="22"/>
  </w:num>
  <w:num w:numId="22">
    <w:abstractNumId w:val="13"/>
  </w:num>
  <w:num w:numId="23">
    <w:abstractNumId w:val="20"/>
  </w:num>
  <w:num w:numId="24">
    <w:abstractNumId w:val="24"/>
  </w:num>
  <w:num w:numId="25">
    <w:abstractNumId w:val="21"/>
  </w:num>
  <w:num w:numId="26">
    <w:abstractNumId w:val="0"/>
  </w:num>
  <w:num w:numId="27">
    <w:abstractNumId w:val="26"/>
  </w:num>
  <w:num w:numId="28">
    <w:abstractNumId w:val="3"/>
  </w:num>
  <w:num w:numId="29">
    <w:abstractNumId w:val="4"/>
  </w:num>
  <w:num w:numId="30">
    <w:abstractNumId w:val="2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6F4A077-4F3B-4D4A-9455-021F7C52D752}"/>
    <w:docVar w:name="dgnword-eventsink" w:val="121453264"/>
  </w:docVars>
  <w:rsids>
    <w:rsidRoot w:val="0047636C"/>
    <w:rsid w:val="00000FBA"/>
    <w:rsid w:val="00004F1A"/>
    <w:rsid w:val="00010CE1"/>
    <w:rsid w:val="0001602A"/>
    <w:rsid w:val="0002476D"/>
    <w:rsid w:val="00027087"/>
    <w:rsid w:val="00031BFD"/>
    <w:rsid w:val="000324D5"/>
    <w:rsid w:val="00032773"/>
    <w:rsid w:val="00033AE2"/>
    <w:rsid w:val="00040075"/>
    <w:rsid w:val="0004360C"/>
    <w:rsid w:val="00044606"/>
    <w:rsid w:val="0005044D"/>
    <w:rsid w:val="00053579"/>
    <w:rsid w:val="00060EF8"/>
    <w:rsid w:val="00063D98"/>
    <w:rsid w:val="00063FF3"/>
    <w:rsid w:val="00066A0E"/>
    <w:rsid w:val="000715EC"/>
    <w:rsid w:val="00076D27"/>
    <w:rsid w:val="0007758F"/>
    <w:rsid w:val="000821EC"/>
    <w:rsid w:val="000843DE"/>
    <w:rsid w:val="00093B21"/>
    <w:rsid w:val="000A1DB4"/>
    <w:rsid w:val="000A2641"/>
    <w:rsid w:val="000A4C77"/>
    <w:rsid w:val="000A4C94"/>
    <w:rsid w:val="000A6D89"/>
    <w:rsid w:val="000B2575"/>
    <w:rsid w:val="000B7489"/>
    <w:rsid w:val="000C2A12"/>
    <w:rsid w:val="000C76E8"/>
    <w:rsid w:val="000D0BB1"/>
    <w:rsid w:val="000D1804"/>
    <w:rsid w:val="000D2081"/>
    <w:rsid w:val="000D6617"/>
    <w:rsid w:val="00102D6B"/>
    <w:rsid w:val="0010722A"/>
    <w:rsid w:val="001101B4"/>
    <w:rsid w:val="001150A5"/>
    <w:rsid w:val="00115B80"/>
    <w:rsid w:val="00116D89"/>
    <w:rsid w:val="00120558"/>
    <w:rsid w:val="00121FDA"/>
    <w:rsid w:val="00124B05"/>
    <w:rsid w:val="0012557B"/>
    <w:rsid w:val="00127065"/>
    <w:rsid w:val="00127C3F"/>
    <w:rsid w:val="00135ACB"/>
    <w:rsid w:val="00140153"/>
    <w:rsid w:val="00141B8F"/>
    <w:rsid w:val="00143877"/>
    <w:rsid w:val="00147B16"/>
    <w:rsid w:val="00160195"/>
    <w:rsid w:val="001617B4"/>
    <w:rsid w:val="00162390"/>
    <w:rsid w:val="001708BE"/>
    <w:rsid w:val="00172683"/>
    <w:rsid w:val="00174267"/>
    <w:rsid w:val="00174648"/>
    <w:rsid w:val="001752CA"/>
    <w:rsid w:val="00177D00"/>
    <w:rsid w:val="00180BC1"/>
    <w:rsid w:val="001866EE"/>
    <w:rsid w:val="001900A6"/>
    <w:rsid w:val="00192B63"/>
    <w:rsid w:val="001A0268"/>
    <w:rsid w:val="001A1D5D"/>
    <w:rsid w:val="001A2C5D"/>
    <w:rsid w:val="001A30B0"/>
    <w:rsid w:val="001B2696"/>
    <w:rsid w:val="001B45AC"/>
    <w:rsid w:val="001B5CB4"/>
    <w:rsid w:val="001B7580"/>
    <w:rsid w:val="001C1582"/>
    <w:rsid w:val="001C499F"/>
    <w:rsid w:val="001C5538"/>
    <w:rsid w:val="001D0B96"/>
    <w:rsid w:val="001D268A"/>
    <w:rsid w:val="001D55A5"/>
    <w:rsid w:val="001D5F3E"/>
    <w:rsid w:val="001D63FF"/>
    <w:rsid w:val="001D6E23"/>
    <w:rsid w:val="001D71D9"/>
    <w:rsid w:val="001E7044"/>
    <w:rsid w:val="001F2CA1"/>
    <w:rsid w:val="002012F5"/>
    <w:rsid w:val="002029D5"/>
    <w:rsid w:val="002030D6"/>
    <w:rsid w:val="002039E6"/>
    <w:rsid w:val="00204E1E"/>
    <w:rsid w:val="002050DC"/>
    <w:rsid w:val="00205220"/>
    <w:rsid w:val="00206CB1"/>
    <w:rsid w:val="00212126"/>
    <w:rsid w:val="00220A43"/>
    <w:rsid w:val="00225453"/>
    <w:rsid w:val="0023207E"/>
    <w:rsid w:val="00235FC8"/>
    <w:rsid w:val="0023678C"/>
    <w:rsid w:val="002413BF"/>
    <w:rsid w:val="0024470B"/>
    <w:rsid w:val="00247886"/>
    <w:rsid w:val="002527E3"/>
    <w:rsid w:val="002607EA"/>
    <w:rsid w:val="00260C5C"/>
    <w:rsid w:val="00262ADD"/>
    <w:rsid w:val="0026442A"/>
    <w:rsid w:val="0026622F"/>
    <w:rsid w:val="00274878"/>
    <w:rsid w:val="0027555D"/>
    <w:rsid w:val="00276330"/>
    <w:rsid w:val="00282FF8"/>
    <w:rsid w:val="002844B3"/>
    <w:rsid w:val="00286522"/>
    <w:rsid w:val="00291A05"/>
    <w:rsid w:val="00292FAF"/>
    <w:rsid w:val="00294D88"/>
    <w:rsid w:val="002A07E5"/>
    <w:rsid w:val="002A18D0"/>
    <w:rsid w:val="002A2D1E"/>
    <w:rsid w:val="002B2252"/>
    <w:rsid w:val="002B4260"/>
    <w:rsid w:val="002C241A"/>
    <w:rsid w:val="002C422D"/>
    <w:rsid w:val="002C4B73"/>
    <w:rsid w:val="002C519D"/>
    <w:rsid w:val="002D2E50"/>
    <w:rsid w:val="002D4E8A"/>
    <w:rsid w:val="002D56A9"/>
    <w:rsid w:val="002E6C0A"/>
    <w:rsid w:val="00312649"/>
    <w:rsid w:val="003138E1"/>
    <w:rsid w:val="00315D5D"/>
    <w:rsid w:val="00316B54"/>
    <w:rsid w:val="00321003"/>
    <w:rsid w:val="003309A7"/>
    <w:rsid w:val="00330A4B"/>
    <w:rsid w:val="0033122F"/>
    <w:rsid w:val="00332BA1"/>
    <w:rsid w:val="003349DB"/>
    <w:rsid w:val="00335212"/>
    <w:rsid w:val="00340101"/>
    <w:rsid w:val="00346537"/>
    <w:rsid w:val="00350BFF"/>
    <w:rsid w:val="003540F9"/>
    <w:rsid w:val="003573CF"/>
    <w:rsid w:val="00357B65"/>
    <w:rsid w:val="003608CF"/>
    <w:rsid w:val="003622D5"/>
    <w:rsid w:val="0036352A"/>
    <w:rsid w:val="003702C8"/>
    <w:rsid w:val="00371043"/>
    <w:rsid w:val="00372D86"/>
    <w:rsid w:val="00375AFB"/>
    <w:rsid w:val="0037710B"/>
    <w:rsid w:val="003820D9"/>
    <w:rsid w:val="00385FD7"/>
    <w:rsid w:val="003871DE"/>
    <w:rsid w:val="003921F6"/>
    <w:rsid w:val="0039255D"/>
    <w:rsid w:val="00394F5D"/>
    <w:rsid w:val="00396EBD"/>
    <w:rsid w:val="003A0F6B"/>
    <w:rsid w:val="003A14BB"/>
    <w:rsid w:val="003A24D0"/>
    <w:rsid w:val="003A3CEA"/>
    <w:rsid w:val="003A6F20"/>
    <w:rsid w:val="003B2D5A"/>
    <w:rsid w:val="003B4CF4"/>
    <w:rsid w:val="003B5336"/>
    <w:rsid w:val="003B73AB"/>
    <w:rsid w:val="003C134B"/>
    <w:rsid w:val="003C69CD"/>
    <w:rsid w:val="003C7D8B"/>
    <w:rsid w:val="003D0C1C"/>
    <w:rsid w:val="003D49C6"/>
    <w:rsid w:val="003D5C6D"/>
    <w:rsid w:val="003E3451"/>
    <w:rsid w:val="003E7121"/>
    <w:rsid w:val="003F306A"/>
    <w:rsid w:val="003F4BD5"/>
    <w:rsid w:val="003F6F74"/>
    <w:rsid w:val="003F7537"/>
    <w:rsid w:val="00402C71"/>
    <w:rsid w:val="00415A27"/>
    <w:rsid w:val="00415B7A"/>
    <w:rsid w:val="00424E44"/>
    <w:rsid w:val="00426820"/>
    <w:rsid w:val="004335ED"/>
    <w:rsid w:val="00435535"/>
    <w:rsid w:val="004423E9"/>
    <w:rsid w:val="00446095"/>
    <w:rsid w:val="004505DC"/>
    <w:rsid w:val="004509EF"/>
    <w:rsid w:val="004632E5"/>
    <w:rsid w:val="00464443"/>
    <w:rsid w:val="00464A7F"/>
    <w:rsid w:val="0046539B"/>
    <w:rsid w:val="004746CA"/>
    <w:rsid w:val="00476321"/>
    <w:rsid w:val="0047636C"/>
    <w:rsid w:val="0048217F"/>
    <w:rsid w:val="0048567E"/>
    <w:rsid w:val="00486786"/>
    <w:rsid w:val="00492B9B"/>
    <w:rsid w:val="00495E00"/>
    <w:rsid w:val="004A3747"/>
    <w:rsid w:val="004A6443"/>
    <w:rsid w:val="004A6B54"/>
    <w:rsid w:val="004A7EF9"/>
    <w:rsid w:val="004B03FE"/>
    <w:rsid w:val="004B4B62"/>
    <w:rsid w:val="004C11B4"/>
    <w:rsid w:val="004C74C7"/>
    <w:rsid w:val="004C7693"/>
    <w:rsid w:val="004D1C2D"/>
    <w:rsid w:val="004D47FF"/>
    <w:rsid w:val="004D72C0"/>
    <w:rsid w:val="004D7E01"/>
    <w:rsid w:val="004E0A00"/>
    <w:rsid w:val="004E4AE4"/>
    <w:rsid w:val="004E6159"/>
    <w:rsid w:val="004E78CD"/>
    <w:rsid w:val="004F24D4"/>
    <w:rsid w:val="004F31C8"/>
    <w:rsid w:val="004F77F4"/>
    <w:rsid w:val="005000B4"/>
    <w:rsid w:val="0050162E"/>
    <w:rsid w:val="00501EE7"/>
    <w:rsid w:val="00503F59"/>
    <w:rsid w:val="00505E1E"/>
    <w:rsid w:val="00507DA1"/>
    <w:rsid w:val="005129CB"/>
    <w:rsid w:val="00513D73"/>
    <w:rsid w:val="0052471A"/>
    <w:rsid w:val="00530B01"/>
    <w:rsid w:val="00533F92"/>
    <w:rsid w:val="005347A7"/>
    <w:rsid w:val="00537265"/>
    <w:rsid w:val="00537FB0"/>
    <w:rsid w:val="0054282A"/>
    <w:rsid w:val="00545813"/>
    <w:rsid w:val="00545EB6"/>
    <w:rsid w:val="005549E8"/>
    <w:rsid w:val="0056517F"/>
    <w:rsid w:val="0056669F"/>
    <w:rsid w:val="00566AF6"/>
    <w:rsid w:val="00567B8A"/>
    <w:rsid w:val="00574BF5"/>
    <w:rsid w:val="00575A4F"/>
    <w:rsid w:val="00580C41"/>
    <w:rsid w:val="00586F9E"/>
    <w:rsid w:val="00587D34"/>
    <w:rsid w:val="00592D7B"/>
    <w:rsid w:val="005A0C7B"/>
    <w:rsid w:val="005B1348"/>
    <w:rsid w:val="005B6426"/>
    <w:rsid w:val="005B7488"/>
    <w:rsid w:val="005C2E30"/>
    <w:rsid w:val="005D0EE0"/>
    <w:rsid w:val="005D1C68"/>
    <w:rsid w:val="005D241B"/>
    <w:rsid w:val="005D4816"/>
    <w:rsid w:val="005D5F01"/>
    <w:rsid w:val="005E1B61"/>
    <w:rsid w:val="005E2F34"/>
    <w:rsid w:val="005E40B5"/>
    <w:rsid w:val="005F081F"/>
    <w:rsid w:val="005F4A5D"/>
    <w:rsid w:val="005F7C44"/>
    <w:rsid w:val="00602BB9"/>
    <w:rsid w:val="0060369C"/>
    <w:rsid w:val="00607842"/>
    <w:rsid w:val="00610B4D"/>
    <w:rsid w:val="00612179"/>
    <w:rsid w:val="00615094"/>
    <w:rsid w:val="006152A9"/>
    <w:rsid w:val="00620587"/>
    <w:rsid w:val="00624A66"/>
    <w:rsid w:val="00625684"/>
    <w:rsid w:val="00626AB7"/>
    <w:rsid w:val="00637DA4"/>
    <w:rsid w:val="00642E78"/>
    <w:rsid w:val="00654395"/>
    <w:rsid w:val="00654515"/>
    <w:rsid w:val="00655317"/>
    <w:rsid w:val="00656D8E"/>
    <w:rsid w:val="00657477"/>
    <w:rsid w:val="00663202"/>
    <w:rsid w:val="00666F47"/>
    <w:rsid w:val="006677A2"/>
    <w:rsid w:val="006760B5"/>
    <w:rsid w:val="00681408"/>
    <w:rsid w:val="0068280A"/>
    <w:rsid w:val="00684BDF"/>
    <w:rsid w:val="00692E88"/>
    <w:rsid w:val="00697919"/>
    <w:rsid w:val="006A0A25"/>
    <w:rsid w:val="006A2B2D"/>
    <w:rsid w:val="006A309E"/>
    <w:rsid w:val="006A3992"/>
    <w:rsid w:val="006A5C2A"/>
    <w:rsid w:val="006B2217"/>
    <w:rsid w:val="006B2471"/>
    <w:rsid w:val="006B65A2"/>
    <w:rsid w:val="006B7321"/>
    <w:rsid w:val="006C10B0"/>
    <w:rsid w:val="006C4A59"/>
    <w:rsid w:val="006D5F07"/>
    <w:rsid w:val="006E0871"/>
    <w:rsid w:val="006E2001"/>
    <w:rsid w:val="006E2BB4"/>
    <w:rsid w:val="006E2FF6"/>
    <w:rsid w:val="006F2375"/>
    <w:rsid w:val="006F5B8F"/>
    <w:rsid w:val="006F6239"/>
    <w:rsid w:val="00701EFF"/>
    <w:rsid w:val="007047E9"/>
    <w:rsid w:val="00707416"/>
    <w:rsid w:val="00713AB0"/>
    <w:rsid w:val="00720C09"/>
    <w:rsid w:val="00725C86"/>
    <w:rsid w:val="00735C3B"/>
    <w:rsid w:val="007407A5"/>
    <w:rsid w:val="007412C0"/>
    <w:rsid w:val="00743E0E"/>
    <w:rsid w:val="00743ED4"/>
    <w:rsid w:val="00764CBA"/>
    <w:rsid w:val="007701B3"/>
    <w:rsid w:val="007711BC"/>
    <w:rsid w:val="00772A07"/>
    <w:rsid w:val="00774826"/>
    <w:rsid w:val="00780E8F"/>
    <w:rsid w:val="00780F36"/>
    <w:rsid w:val="00783304"/>
    <w:rsid w:val="00790E98"/>
    <w:rsid w:val="0079339E"/>
    <w:rsid w:val="0079475C"/>
    <w:rsid w:val="00794918"/>
    <w:rsid w:val="0079696F"/>
    <w:rsid w:val="007A60D0"/>
    <w:rsid w:val="007B1AE7"/>
    <w:rsid w:val="007B2D4F"/>
    <w:rsid w:val="007B3A7A"/>
    <w:rsid w:val="007D07D0"/>
    <w:rsid w:val="007D312B"/>
    <w:rsid w:val="007D49BD"/>
    <w:rsid w:val="007D75F8"/>
    <w:rsid w:val="007E0011"/>
    <w:rsid w:val="007E050F"/>
    <w:rsid w:val="007E1C39"/>
    <w:rsid w:val="007E5D05"/>
    <w:rsid w:val="007E78AD"/>
    <w:rsid w:val="007F4EF5"/>
    <w:rsid w:val="007F5498"/>
    <w:rsid w:val="007F5590"/>
    <w:rsid w:val="007F5696"/>
    <w:rsid w:val="007F6ACE"/>
    <w:rsid w:val="00801BEE"/>
    <w:rsid w:val="00813C1B"/>
    <w:rsid w:val="00823588"/>
    <w:rsid w:val="008243EE"/>
    <w:rsid w:val="00830051"/>
    <w:rsid w:val="00831800"/>
    <w:rsid w:val="00834519"/>
    <w:rsid w:val="008356A3"/>
    <w:rsid w:val="008378B5"/>
    <w:rsid w:val="00837CB2"/>
    <w:rsid w:val="00837D4E"/>
    <w:rsid w:val="00840719"/>
    <w:rsid w:val="0084154D"/>
    <w:rsid w:val="00842D51"/>
    <w:rsid w:val="00843045"/>
    <w:rsid w:val="00844378"/>
    <w:rsid w:val="008445AA"/>
    <w:rsid w:val="008453E1"/>
    <w:rsid w:val="008458A9"/>
    <w:rsid w:val="008466D3"/>
    <w:rsid w:val="00847C06"/>
    <w:rsid w:val="0085492D"/>
    <w:rsid w:val="0086045B"/>
    <w:rsid w:val="00861676"/>
    <w:rsid w:val="00863905"/>
    <w:rsid w:val="00870564"/>
    <w:rsid w:val="008722EF"/>
    <w:rsid w:val="00873547"/>
    <w:rsid w:val="008767E1"/>
    <w:rsid w:val="00880079"/>
    <w:rsid w:val="00882964"/>
    <w:rsid w:val="0088566D"/>
    <w:rsid w:val="00885CFC"/>
    <w:rsid w:val="00886341"/>
    <w:rsid w:val="00890E0A"/>
    <w:rsid w:val="00893530"/>
    <w:rsid w:val="00894336"/>
    <w:rsid w:val="00895FEA"/>
    <w:rsid w:val="00896D67"/>
    <w:rsid w:val="00897F7F"/>
    <w:rsid w:val="008A03DD"/>
    <w:rsid w:val="008A14A4"/>
    <w:rsid w:val="008A24A8"/>
    <w:rsid w:val="008B2F90"/>
    <w:rsid w:val="008B4146"/>
    <w:rsid w:val="008C46AF"/>
    <w:rsid w:val="008C4BDF"/>
    <w:rsid w:val="008C61AB"/>
    <w:rsid w:val="008C7054"/>
    <w:rsid w:val="008D126A"/>
    <w:rsid w:val="008D35CF"/>
    <w:rsid w:val="008D3A9B"/>
    <w:rsid w:val="008E16A7"/>
    <w:rsid w:val="008E6456"/>
    <w:rsid w:val="008E6EB1"/>
    <w:rsid w:val="008E75FD"/>
    <w:rsid w:val="008E7B86"/>
    <w:rsid w:val="008F10F9"/>
    <w:rsid w:val="008F73A7"/>
    <w:rsid w:val="008F79CA"/>
    <w:rsid w:val="0090376E"/>
    <w:rsid w:val="009070F0"/>
    <w:rsid w:val="00912122"/>
    <w:rsid w:val="00915A9B"/>
    <w:rsid w:val="009168C6"/>
    <w:rsid w:val="00917973"/>
    <w:rsid w:val="00922A98"/>
    <w:rsid w:val="00927E0D"/>
    <w:rsid w:val="0094061B"/>
    <w:rsid w:val="00942C84"/>
    <w:rsid w:val="00943561"/>
    <w:rsid w:val="009543F1"/>
    <w:rsid w:val="00962ACB"/>
    <w:rsid w:val="00964C9F"/>
    <w:rsid w:val="009669D4"/>
    <w:rsid w:val="009726EE"/>
    <w:rsid w:val="00972861"/>
    <w:rsid w:val="0097394E"/>
    <w:rsid w:val="00974D7E"/>
    <w:rsid w:val="009800F0"/>
    <w:rsid w:val="00980109"/>
    <w:rsid w:val="00981D80"/>
    <w:rsid w:val="009907B9"/>
    <w:rsid w:val="009932F2"/>
    <w:rsid w:val="00996157"/>
    <w:rsid w:val="009A43C8"/>
    <w:rsid w:val="009B13C7"/>
    <w:rsid w:val="009B5E32"/>
    <w:rsid w:val="009B685A"/>
    <w:rsid w:val="009B7B81"/>
    <w:rsid w:val="009C37B6"/>
    <w:rsid w:val="009C4B65"/>
    <w:rsid w:val="009D20B7"/>
    <w:rsid w:val="009D2330"/>
    <w:rsid w:val="009D4BB2"/>
    <w:rsid w:val="009D54E0"/>
    <w:rsid w:val="009D59AE"/>
    <w:rsid w:val="009E087E"/>
    <w:rsid w:val="009E455C"/>
    <w:rsid w:val="009E5516"/>
    <w:rsid w:val="009F024C"/>
    <w:rsid w:val="00A05D69"/>
    <w:rsid w:val="00A063F9"/>
    <w:rsid w:val="00A103EA"/>
    <w:rsid w:val="00A10D52"/>
    <w:rsid w:val="00A13293"/>
    <w:rsid w:val="00A14D9F"/>
    <w:rsid w:val="00A174FB"/>
    <w:rsid w:val="00A20C0B"/>
    <w:rsid w:val="00A23BAC"/>
    <w:rsid w:val="00A2549D"/>
    <w:rsid w:val="00A25DD7"/>
    <w:rsid w:val="00A2668A"/>
    <w:rsid w:val="00A30626"/>
    <w:rsid w:val="00A34FA3"/>
    <w:rsid w:val="00A370BC"/>
    <w:rsid w:val="00A51214"/>
    <w:rsid w:val="00A57D94"/>
    <w:rsid w:val="00A60F1F"/>
    <w:rsid w:val="00A629BE"/>
    <w:rsid w:val="00A630AE"/>
    <w:rsid w:val="00A64E6A"/>
    <w:rsid w:val="00A75B42"/>
    <w:rsid w:val="00A76D3E"/>
    <w:rsid w:val="00A80EE2"/>
    <w:rsid w:val="00A82119"/>
    <w:rsid w:val="00A85A4A"/>
    <w:rsid w:val="00A8777A"/>
    <w:rsid w:val="00AA3C56"/>
    <w:rsid w:val="00AA6682"/>
    <w:rsid w:val="00AC192B"/>
    <w:rsid w:val="00AC1C54"/>
    <w:rsid w:val="00AC28FF"/>
    <w:rsid w:val="00AC54DC"/>
    <w:rsid w:val="00AC54F4"/>
    <w:rsid w:val="00AD0369"/>
    <w:rsid w:val="00AD6066"/>
    <w:rsid w:val="00AE29F4"/>
    <w:rsid w:val="00AE36E3"/>
    <w:rsid w:val="00AF0730"/>
    <w:rsid w:val="00AF1A5A"/>
    <w:rsid w:val="00AF30D0"/>
    <w:rsid w:val="00AF33D7"/>
    <w:rsid w:val="00AF60BA"/>
    <w:rsid w:val="00AF7111"/>
    <w:rsid w:val="00B030F3"/>
    <w:rsid w:val="00B03982"/>
    <w:rsid w:val="00B048EA"/>
    <w:rsid w:val="00B10E5A"/>
    <w:rsid w:val="00B13C9F"/>
    <w:rsid w:val="00B13CBE"/>
    <w:rsid w:val="00B13EBB"/>
    <w:rsid w:val="00B2431D"/>
    <w:rsid w:val="00B46792"/>
    <w:rsid w:val="00B5023D"/>
    <w:rsid w:val="00B5088E"/>
    <w:rsid w:val="00B50C55"/>
    <w:rsid w:val="00B5310E"/>
    <w:rsid w:val="00B5319F"/>
    <w:rsid w:val="00B542B4"/>
    <w:rsid w:val="00B547CE"/>
    <w:rsid w:val="00B549FA"/>
    <w:rsid w:val="00B552AD"/>
    <w:rsid w:val="00B56328"/>
    <w:rsid w:val="00B5740F"/>
    <w:rsid w:val="00B57F59"/>
    <w:rsid w:val="00B60AFD"/>
    <w:rsid w:val="00B61D8E"/>
    <w:rsid w:val="00B661B6"/>
    <w:rsid w:val="00B67468"/>
    <w:rsid w:val="00B72149"/>
    <w:rsid w:val="00B80FBA"/>
    <w:rsid w:val="00B81057"/>
    <w:rsid w:val="00B81D42"/>
    <w:rsid w:val="00B9004F"/>
    <w:rsid w:val="00B92D33"/>
    <w:rsid w:val="00B9346A"/>
    <w:rsid w:val="00B95399"/>
    <w:rsid w:val="00BA0287"/>
    <w:rsid w:val="00BA264B"/>
    <w:rsid w:val="00BA52FD"/>
    <w:rsid w:val="00BB14C6"/>
    <w:rsid w:val="00BB20C2"/>
    <w:rsid w:val="00BB7B07"/>
    <w:rsid w:val="00BD4AE0"/>
    <w:rsid w:val="00BD7D03"/>
    <w:rsid w:val="00BE0B7C"/>
    <w:rsid w:val="00BE2A8C"/>
    <w:rsid w:val="00BE4B4B"/>
    <w:rsid w:val="00BF0717"/>
    <w:rsid w:val="00BF2F1B"/>
    <w:rsid w:val="00BF38DD"/>
    <w:rsid w:val="00BF3C42"/>
    <w:rsid w:val="00BF4428"/>
    <w:rsid w:val="00BF7AD9"/>
    <w:rsid w:val="00C052A7"/>
    <w:rsid w:val="00C06FB3"/>
    <w:rsid w:val="00C13680"/>
    <w:rsid w:val="00C13A19"/>
    <w:rsid w:val="00C16B05"/>
    <w:rsid w:val="00C206E1"/>
    <w:rsid w:val="00C25F44"/>
    <w:rsid w:val="00C2790F"/>
    <w:rsid w:val="00C32518"/>
    <w:rsid w:val="00C33075"/>
    <w:rsid w:val="00C33AFE"/>
    <w:rsid w:val="00C374C5"/>
    <w:rsid w:val="00C37876"/>
    <w:rsid w:val="00C37A48"/>
    <w:rsid w:val="00C40150"/>
    <w:rsid w:val="00C43F73"/>
    <w:rsid w:val="00C44D22"/>
    <w:rsid w:val="00C51688"/>
    <w:rsid w:val="00C543AD"/>
    <w:rsid w:val="00C563AD"/>
    <w:rsid w:val="00C57799"/>
    <w:rsid w:val="00C60875"/>
    <w:rsid w:val="00C614CA"/>
    <w:rsid w:val="00C6571E"/>
    <w:rsid w:val="00C6734D"/>
    <w:rsid w:val="00C70B7A"/>
    <w:rsid w:val="00C71050"/>
    <w:rsid w:val="00C710A6"/>
    <w:rsid w:val="00C72648"/>
    <w:rsid w:val="00C8540F"/>
    <w:rsid w:val="00C8554D"/>
    <w:rsid w:val="00C86C2C"/>
    <w:rsid w:val="00C91BD4"/>
    <w:rsid w:val="00CA0BD4"/>
    <w:rsid w:val="00CB0AEB"/>
    <w:rsid w:val="00CB3EAB"/>
    <w:rsid w:val="00CB702C"/>
    <w:rsid w:val="00CC57BF"/>
    <w:rsid w:val="00CC75B6"/>
    <w:rsid w:val="00CD1A1E"/>
    <w:rsid w:val="00CD2055"/>
    <w:rsid w:val="00CD2EE9"/>
    <w:rsid w:val="00CE00A6"/>
    <w:rsid w:val="00CE1A73"/>
    <w:rsid w:val="00CE24A7"/>
    <w:rsid w:val="00CE747C"/>
    <w:rsid w:val="00CF28CE"/>
    <w:rsid w:val="00CF5CF7"/>
    <w:rsid w:val="00CF6EBD"/>
    <w:rsid w:val="00D0270B"/>
    <w:rsid w:val="00D0627F"/>
    <w:rsid w:val="00D06A13"/>
    <w:rsid w:val="00D11D26"/>
    <w:rsid w:val="00D12E9F"/>
    <w:rsid w:val="00D134F3"/>
    <w:rsid w:val="00D165CF"/>
    <w:rsid w:val="00D1728E"/>
    <w:rsid w:val="00D269D7"/>
    <w:rsid w:val="00D26B8A"/>
    <w:rsid w:val="00D27388"/>
    <w:rsid w:val="00D305E2"/>
    <w:rsid w:val="00D332B0"/>
    <w:rsid w:val="00D34E4D"/>
    <w:rsid w:val="00D36FB7"/>
    <w:rsid w:val="00D46406"/>
    <w:rsid w:val="00D475D8"/>
    <w:rsid w:val="00D505EF"/>
    <w:rsid w:val="00D51660"/>
    <w:rsid w:val="00D54B68"/>
    <w:rsid w:val="00D54DDA"/>
    <w:rsid w:val="00D61D07"/>
    <w:rsid w:val="00D64561"/>
    <w:rsid w:val="00D65410"/>
    <w:rsid w:val="00D66451"/>
    <w:rsid w:val="00D7009A"/>
    <w:rsid w:val="00D72CD8"/>
    <w:rsid w:val="00D73800"/>
    <w:rsid w:val="00D73B4B"/>
    <w:rsid w:val="00D750F5"/>
    <w:rsid w:val="00D75D91"/>
    <w:rsid w:val="00D7601A"/>
    <w:rsid w:val="00D81781"/>
    <w:rsid w:val="00D85C83"/>
    <w:rsid w:val="00D86B33"/>
    <w:rsid w:val="00D91287"/>
    <w:rsid w:val="00D96979"/>
    <w:rsid w:val="00DA33CE"/>
    <w:rsid w:val="00DB3967"/>
    <w:rsid w:val="00DC0A4D"/>
    <w:rsid w:val="00DC22F8"/>
    <w:rsid w:val="00DC28CF"/>
    <w:rsid w:val="00DC2F70"/>
    <w:rsid w:val="00DD0087"/>
    <w:rsid w:val="00DE1D92"/>
    <w:rsid w:val="00DE6B95"/>
    <w:rsid w:val="00DF4CE4"/>
    <w:rsid w:val="00E01540"/>
    <w:rsid w:val="00E03FEC"/>
    <w:rsid w:val="00E0465D"/>
    <w:rsid w:val="00E1021F"/>
    <w:rsid w:val="00E230E3"/>
    <w:rsid w:val="00E2369E"/>
    <w:rsid w:val="00E23716"/>
    <w:rsid w:val="00E23FA4"/>
    <w:rsid w:val="00E24A87"/>
    <w:rsid w:val="00E27299"/>
    <w:rsid w:val="00E30E3D"/>
    <w:rsid w:val="00E31CED"/>
    <w:rsid w:val="00E32AC2"/>
    <w:rsid w:val="00E3307A"/>
    <w:rsid w:val="00E3596C"/>
    <w:rsid w:val="00E379C5"/>
    <w:rsid w:val="00E62AED"/>
    <w:rsid w:val="00E64A74"/>
    <w:rsid w:val="00E64F22"/>
    <w:rsid w:val="00E666AA"/>
    <w:rsid w:val="00E67554"/>
    <w:rsid w:val="00E703C9"/>
    <w:rsid w:val="00E71DA8"/>
    <w:rsid w:val="00E83493"/>
    <w:rsid w:val="00E958DE"/>
    <w:rsid w:val="00EA1621"/>
    <w:rsid w:val="00EA43C1"/>
    <w:rsid w:val="00EA6FA9"/>
    <w:rsid w:val="00EB0DAF"/>
    <w:rsid w:val="00EB3E9F"/>
    <w:rsid w:val="00EB49A8"/>
    <w:rsid w:val="00EB53D8"/>
    <w:rsid w:val="00EB778D"/>
    <w:rsid w:val="00EC18C0"/>
    <w:rsid w:val="00ED1B44"/>
    <w:rsid w:val="00ED43A8"/>
    <w:rsid w:val="00ED5886"/>
    <w:rsid w:val="00EE4E85"/>
    <w:rsid w:val="00EE55F7"/>
    <w:rsid w:val="00EF352E"/>
    <w:rsid w:val="00EF52B5"/>
    <w:rsid w:val="00F06D81"/>
    <w:rsid w:val="00F07B02"/>
    <w:rsid w:val="00F106E8"/>
    <w:rsid w:val="00F116F6"/>
    <w:rsid w:val="00F125FD"/>
    <w:rsid w:val="00F1384E"/>
    <w:rsid w:val="00F15293"/>
    <w:rsid w:val="00F15EE7"/>
    <w:rsid w:val="00F174BE"/>
    <w:rsid w:val="00F239A5"/>
    <w:rsid w:val="00F23E95"/>
    <w:rsid w:val="00F2522A"/>
    <w:rsid w:val="00F271AF"/>
    <w:rsid w:val="00F27623"/>
    <w:rsid w:val="00F30152"/>
    <w:rsid w:val="00F36AC1"/>
    <w:rsid w:val="00F37DA1"/>
    <w:rsid w:val="00F44884"/>
    <w:rsid w:val="00F545E0"/>
    <w:rsid w:val="00F608D3"/>
    <w:rsid w:val="00F61C50"/>
    <w:rsid w:val="00F61CF2"/>
    <w:rsid w:val="00F65511"/>
    <w:rsid w:val="00F71066"/>
    <w:rsid w:val="00F71466"/>
    <w:rsid w:val="00F758C6"/>
    <w:rsid w:val="00F77197"/>
    <w:rsid w:val="00F8197E"/>
    <w:rsid w:val="00F83823"/>
    <w:rsid w:val="00F86365"/>
    <w:rsid w:val="00F91750"/>
    <w:rsid w:val="00F92CDF"/>
    <w:rsid w:val="00F96BD7"/>
    <w:rsid w:val="00FA4D2D"/>
    <w:rsid w:val="00FC2804"/>
    <w:rsid w:val="00FC439E"/>
    <w:rsid w:val="00FC50F8"/>
    <w:rsid w:val="00FC5277"/>
    <w:rsid w:val="00FC72D4"/>
    <w:rsid w:val="00FD2C06"/>
    <w:rsid w:val="00FE178F"/>
    <w:rsid w:val="00FF04A7"/>
    <w:rsid w:val="00FF102E"/>
    <w:rsid w:val="00FF1FCF"/>
    <w:rsid w:val="00FF276F"/>
    <w:rsid w:val="00FF436E"/>
    <w:rsid w:val="00FF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40C6C7D"/>
  <w15:docId w15:val="{04D4F4AB-5980-4018-9791-D13403CD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E0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3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6D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 w:type="character" w:styleId="Strong">
    <w:name w:val="Strong"/>
    <w:basedOn w:val="DefaultParagraphFont"/>
    <w:uiPriority w:val="22"/>
    <w:qFormat/>
    <w:rsid w:val="00AC54F4"/>
    <w:rPr>
      <w:b/>
      <w:bCs/>
    </w:rPr>
  </w:style>
  <w:style w:type="character" w:styleId="Emphasis">
    <w:name w:val="Emphasis"/>
    <w:basedOn w:val="DefaultParagraphFont"/>
    <w:uiPriority w:val="20"/>
    <w:qFormat/>
    <w:rsid w:val="00AC54F4"/>
    <w:rPr>
      <w:i/>
      <w:iCs/>
    </w:rPr>
  </w:style>
  <w:style w:type="character" w:customStyle="1" w:styleId="Heading1Char">
    <w:name w:val="Heading 1 Char"/>
    <w:basedOn w:val="DefaultParagraphFont"/>
    <w:link w:val="Heading1"/>
    <w:uiPriority w:val="9"/>
    <w:rsid w:val="00E71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3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3A8"/>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ED43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70B7A"/>
    <w:rPr>
      <w:sz w:val="16"/>
      <w:szCs w:val="16"/>
    </w:rPr>
  </w:style>
  <w:style w:type="paragraph" w:styleId="CommentText">
    <w:name w:val="annotation text"/>
    <w:basedOn w:val="Normal"/>
    <w:link w:val="CommentTextChar"/>
    <w:uiPriority w:val="99"/>
    <w:semiHidden/>
    <w:unhideWhenUsed/>
    <w:rsid w:val="00C70B7A"/>
    <w:rPr>
      <w:sz w:val="20"/>
    </w:rPr>
  </w:style>
  <w:style w:type="character" w:customStyle="1" w:styleId="CommentTextChar">
    <w:name w:val="Comment Text Char"/>
    <w:basedOn w:val="DefaultParagraphFont"/>
    <w:link w:val="CommentText"/>
    <w:uiPriority w:val="99"/>
    <w:semiHidden/>
    <w:rsid w:val="00C70B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B7A"/>
    <w:rPr>
      <w:b/>
      <w:bCs/>
    </w:rPr>
  </w:style>
  <w:style w:type="character" w:customStyle="1" w:styleId="CommentSubjectChar">
    <w:name w:val="Comment Subject Char"/>
    <w:basedOn w:val="CommentTextChar"/>
    <w:link w:val="CommentSubject"/>
    <w:uiPriority w:val="99"/>
    <w:semiHidden/>
    <w:rsid w:val="00C70B7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614CA"/>
    <w:rPr>
      <w:color w:val="800080" w:themeColor="followedHyperlink"/>
      <w:u w:val="single"/>
    </w:rPr>
  </w:style>
  <w:style w:type="character" w:customStyle="1" w:styleId="Heading4Char">
    <w:name w:val="Heading 4 Char"/>
    <w:basedOn w:val="DefaultParagraphFont"/>
    <w:link w:val="Heading4"/>
    <w:uiPriority w:val="9"/>
    <w:semiHidden/>
    <w:rsid w:val="00F06D81"/>
    <w:rPr>
      <w:rFonts w:asciiTheme="majorHAnsi" w:eastAsiaTheme="majorEastAsia" w:hAnsiTheme="majorHAnsi" w:cstheme="majorBidi"/>
      <w:b/>
      <w:bCs/>
      <w:i/>
      <w:iCs/>
      <w:color w:val="4F81BD" w:themeColor="accent1"/>
      <w:sz w:val="24"/>
      <w:szCs w:val="20"/>
    </w:rPr>
  </w:style>
  <w:style w:type="paragraph" w:customStyle="1" w:styleId="Default">
    <w:name w:val="Default"/>
    <w:rsid w:val="004B4B6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64561"/>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D64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93989">
      <w:bodyDiv w:val="1"/>
      <w:marLeft w:val="0"/>
      <w:marRight w:val="0"/>
      <w:marTop w:val="0"/>
      <w:marBottom w:val="0"/>
      <w:divBdr>
        <w:top w:val="none" w:sz="0" w:space="0" w:color="auto"/>
        <w:left w:val="none" w:sz="0" w:space="0" w:color="auto"/>
        <w:bottom w:val="none" w:sz="0" w:space="0" w:color="auto"/>
        <w:right w:val="none" w:sz="0" w:space="0" w:color="auto"/>
      </w:divBdr>
    </w:div>
    <w:div w:id="396437060">
      <w:bodyDiv w:val="1"/>
      <w:marLeft w:val="0"/>
      <w:marRight w:val="0"/>
      <w:marTop w:val="0"/>
      <w:marBottom w:val="0"/>
      <w:divBdr>
        <w:top w:val="none" w:sz="0" w:space="0" w:color="auto"/>
        <w:left w:val="none" w:sz="0" w:space="0" w:color="auto"/>
        <w:bottom w:val="none" w:sz="0" w:space="0" w:color="auto"/>
        <w:right w:val="none" w:sz="0" w:space="0" w:color="auto"/>
      </w:divBdr>
    </w:div>
    <w:div w:id="447313264">
      <w:bodyDiv w:val="1"/>
      <w:marLeft w:val="0"/>
      <w:marRight w:val="0"/>
      <w:marTop w:val="0"/>
      <w:marBottom w:val="0"/>
      <w:divBdr>
        <w:top w:val="none" w:sz="0" w:space="0" w:color="auto"/>
        <w:left w:val="none" w:sz="0" w:space="0" w:color="auto"/>
        <w:bottom w:val="none" w:sz="0" w:space="0" w:color="auto"/>
        <w:right w:val="none" w:sz="0" w:space="0" w:color="auto"/>
      </w:divBdr>
      <w:divsChild>
        <w:div w:id="573899420">
          <w:marLeft w:val="0"/>
          <w:marRight w:val="0"/>
          <w:marTop w:val="0"/>
          <w:marBottom w:val="0"/>
          <w:divBdr>
            <w:top w:val="none" w:sz="0" w:space="0" w:color="auto"/>
            <w:left w:val="none" w:sz="0" w:space="0" w:color="auto"/>
            <w:bottom w:val="none" w:sz="0" w:space="0" w:color="auto"/>
            <w:right w:val="none" w:sz="0" w:space="0" w:color="auto"/>
          </w:divBdr>
        </w:div>
      </w:divsChild>
    </w:div>
    <w:div w:id="484708728">
      <w:bodyDiv w:val="1"/>
      <w:marLeft w:val="0"/>
      <w:marRight w:val="0"/>
      <w:marTop w:val="0"/>
      <w:marBottom w:val="0"/>
      <w:divBdr>
        <w:top w:val="none" w:sz="0" w:space="0" w:color="auto"/>
        <w:left w:val="none" w:sz="0" w:space="0" w:color="auto"/>
        <w:bottom w:val="none" w:sz="0" w:space="0" w:color="auto"/>
        <w:right w:val="none" w:sz="0" w:space="0" w:color="auto"/>
      </w:divBdr>
      <w:divsChild>
        <w:div w:id="735126931">
          <w:marLeft w:val="0"/>
          <w:marRight w:val="0"/>
          <w:marTop w:val="0"/>
          <w:marBottom w:val="150"/>
          <w:divBdr>
            <w:top w:val="none" w:sz="0" w:space="0" w:color="auto"/>
            <w:left w:val="none" w:sz="0" w:space="0" w:color="auto"/>
            <w:bottom w:val="none" w:sz="0" w:space="0" w:color="auto"/>
            <w:right w:val="none" w:sz="0" w:space="0" w:color="auto"/>
          </w:divBdr>
        </w:div>
        <w:div w:id="1712075629">
          <w:marLeft w:val="0"/>
          <w:marRight w:val="0"/>
          <w:marTop w:val="0"/>
          <w:marBottom w:val="0"/>
          <w:divBdr>
            <w:top w:val="none" w:sz="0" w:space="0" w:color="auto"/>
            <w:left w:val="none" w:sz="0" w:space="0" w:color="auto"/>
            <w:bottom w:val="none" w:sz="0" w:space="0" w:color="auto"/>
            <w:right w:val="none" w:sz="0" w:space="0" w:color="auto"/>
          </w:divBdr>
          <w:divsChild>
            <w:div w:id="312174380">
              <w:marLeft w:val="0"/>
              <w:marRight w:val="0"/>
              <w:marTop w:val="0"/>
              <w:marBottom w:val="0"/>
              <w:divBdr>
                <w:top w:val="none" w:sz="0" w:space="0" w:color="auto"/>
                <w:left w:val="none" w:sz="0" w:space="0" w:color="auto"/>
                <w:bottom w:val="none" w:sz="0" w:space="0" w:color="auto"/>
                <w:right w:val="none" w:sz="0" w:space="0" w:color="auto"/>
              </w:divBdr>
            </w:div>
            <w:div w:id="778911488">
              <w:marLeft w:val="225"/>
              <w:marRight w:val="0"/>
              <w:marTop w:val="0"/>
              <w:marBottom w:val="225"/>
              <w:divBdr>
                <w:top w:val="none" w:sz="0" w:space="0" w:color="auto"/>
                <w:left w:val="none" w:sz="0" w:space="0" w:color="auto"/>
                <w:bottom w:val="none" w:sz="0" w:space="0" w:color="auto"/>
                <w:right w:val="none" w:sz="0" w:space="0" w:color="auto"/>
              </w:divBdr>
            </w:div>
          </w:divsChild>
        </w:div>
        <w:div w:id="1346131394">
          <w:marLeft w:val="0"/>
          <w:marRight w:val="0"/>
          <w:marTop w:val="0"/>
          <w:marBottom w:val="600"/>
          <w:divBdr>
            <w:top w:val="none" w:sz="0" w:space="0" w:color="auto"/>
            <w:left w:val="none" w:sz="0" w:space="0" w:color="auto"/>
            <w:bottom w:val="none" w:sz="0" w:space="0" w:color="auto"/>
            <w:right w:val="none" w:sz="0" w:space="0" w:color="auto"/>
          </w:divBdr>
          <w:divsChild>
            <w:div w:id="19490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6698">
      <w:bodyDiv w:val="1"/>
      <w:marLeft w:val="0"/>
      <w:marRight w:val="0"/>
      <w:marTop w:val="0"/>
      <w:marBottom w:val="0"/>
      <w:divBdr>
        <w:top w:val="none" w:sz="0" w:space="0" w:color="auto"/>
        <w:left w:val="none" w:sz="0" w:space="0" w:color="auto"/>
        <w:bottom w:val="none" w:sz="0" w:space="0" w:color="auto"/>
        <w:right w:val="none" w:sz="0" w:space="0" w:color="auto"/>
      </w:divBdr>
    </w:div>
    <w:div w:id="793448875">
      <w:bodyDiv w:val="1"/>
      <w:marLeft w:val="0"/>
      <w:marRight w:val="0"/>
      <w:marTop w:val="0"/>
      <w:marBottom w:val="0"/>
      <w:divBdr>
        <w:top w:val="none" w:sz="0" w:space="0" w:color="auto"/>
        <w:left w:val="none" w:sz="0" w:space="0" w:color="auto"/>
        <w:bottom w:val="none" w:sz="0" w:space="0" w:color="auto"/>
        <w:right w:val="none" w:sz="0" w:space="0" w:color="auto"/>
      </w:divBdr>
    </w:div>
    <w:div w:id="820387448">
      <w:bodyDiv w:val="1"/>
      <w:marLeft w:val="0"/>
      <w:marRight w:val="0"/>
      <w:marTop w:val="0"/>
      <w:marBottom w:val="0"/>
      <w:divBdr>
        <w:top w:val="none" w:sz="0" w:space="0" w:color="auto"/>
        <w:left w:val="none" w:sz="0" w:space="0" w:color="auto"/>
        <w:bottom w:val="none" w:sz="0" w:space="0" w:color="auto"/>
        <w:right w:val="none" w:sz="0" w:space="0" w:color="auto"/>
      </w:divBdr>
    </w:div>
    <w:div w:id="831988170">
      <w:bodyDiv w:val="1"/>
      <w:marLeft w:val="0"/>
      <w:marRight w:val="0"/>
      <w:marTop w:val="0"/>
      <w:marBottom w:val="0"/>
      <w:divBdr>
        <w:top w:val="none" w:sz="0" w:space="0" w:color="auto"/>
        <w:left w:val="none" w:sz="0" w:space="0" w:color="auto"/>
        <w:bottom w:val="none" w:sz="0" w:space="0" w:color="auto"/>
        <w:right w:val="none" w:sz="0" w:space="0" w:color="auto"/>
      </w:divBdr>
    </w:div>
    <w:div w:id="857741841">
      <w:bodyDiv w:val="1"/>
      <w:marLeft w:val="0"/>
      <w:marRight w:val="0"/>
      <w:marTop w:val="0"/>
      <w:marBottom w:val="0"/>
      <w:divBdr>
        <w:top w:val="none" w:sz="0" w:space="0" w:color="auto"/>
        <w:left w:val="none" w:sz="0" w:space="0" w:color="auto"/>
        <w:bottom w:val="none" w:sz="0" w:space="0" w:color="auto"/>
        <w:right w:val="none" w:sz="0" w:space="0" w:color="auto"/>
      </w:divBdr>
    </w:div>
    <w:div w:id="942692482">
      <w:bodyDiv w:val="1"/>
      <w:marLeft w:val="0"/>
      <w:marRight w:val="0"/>
      <w:marTop w:val="0"/>
      <w:marBottom w:val="0"/>
      <w:divBdr>
        <w:top w:val="none" w:sz="0" w:space="0" w:color="auto"/>
        <w:left w:val="none" w:sz="0" w:space="0" w:color="auto"/>
        <w:bottom w:val="none" w:sz="0" w:space="0" w:color="auto"/>
        <w:right w:val="none" w:sz="0" w:space="0" w:color="auto"/>
      </w:divBdr>
      <w:divsChild>
        <w:div w:id="1519731520">
          <w:marLeft w:val="0"/>
          <w:marRight w:val="0"/>
          <w:marTop w:val="0"/>
          <w:marBottom w:val="0"/>
          <w:divBdr>
            <w:top w:val="none" w:sz="0" w:space="0" w:color="auto"/>
            <w:left w:val="none" w:sz="0" w:space="0" w:color="auto"/>
            <w:bottom w:val="none" w:sz="0" w:space="0" w:color="auto"/>
            <w:right w:val="none" w:sz="0" w:space="0" w:color="auto"/>
          </w:divBdr>
        </w:div>
      </w:divsChild>
    </w:div>
    <w:div w:id="1109354655">
      <w:bodyDiv w:val="1"/>
      <w:marLeft w:val="0"/>
      <w:marRight w:val="0"/>
      <w:marTop w:val="0"/>
      <w:marBottom w:val="0"/>
      <w:divBdr>
        <w:top w:val="none" w:sz="0" w:space="0" w:color="auto"/>
        <w:left w:val="none" w:sz="0" w:space="0" w:color="auto"/>
        <w:bottom w:val="none" w:sz="0" w:space="0" w:color="auto"/>
        <w:right w:val="none" w:sz="0" w:space="0" w:color="auto"/>
      </w:divBdr>
    </w:div>
    <w:div w:id="1214348451">
      <w:bodyDiv w:val="1"/>
      <w:marLeft w:val="0"/>
      <w:marRight w:val="0"/>
      <w:marTop w:val="0"/>
      <w:marBottom w:val="0"/>
      <w:divBdr>
        <w:top w:val="none" w:sz="0" w:space="0" w:color="auto"/>
        <w:left w:val="none" w:sz="0" w:space="0" w:color="auto"/>
        <w:bottom w:val="none" w:sz="0" w:space="0" w:color="auto"/>
        <w:right w:val="none" w:sz="0" w:space="0" w:color="auto"/>
      </w:divBdr>
    </w:div>
    <w:div w:id="1305043352">
      <w:bodyDiv w:val="1"/>
      <w:marLeft w:val="0"/>
      <w:marRight w:val="0"/>
      <w:marTop w:val="0"/>
      <w:marBottom w:val="0"/>
      <w:divBdr>
        <w:top w:val="none" w:sz="0" w:space="0" w:color="auto"/>
        <w:left w:val="none" w:sz="0" w:space="0" w:color="auto"/>
        <w:bottom w:val="none" w:sz="0" w:space="0" w:color="auto"/>
        <w:right w:val="none" w:sz="0" w:space="0" w:color="auto"/>
      </w:divBdr>
    </w:div>
    <w:div w:id="1357345353">
      <w:bodyDiv w:val="1"/>
      <w:marLeft w:val="0"/>
      <w:marRight w:val="0"/>
      <w:marTop w:val="0"/>
      <w:marBottom w:val="0"/>
      <w:divBdr>
        <w:top w:val="none" w:sz="0" w:space="0" w:color="auto"/>
        <w:left w:val="none" w:sz="0" w:space="0" w:color="auto"/>
        <w:bottom w:val="none" w:sz="0" w:space="0" w:color="auto"/>
        <w:right w:val="none" w:sz="0" w:space="0" w:color="auto"/>
      </w:divBdr>
    </w:div>
    <w:div w:id="1416903913">
      <w:bodyDiv w:val="1"/>
      <w:marLeft w:val="0"/>
      <w:marRight w:val="0"/>
      <w:marTop w:val="0"/>
      <w:marBottom w:val="0"/>
      <w:divBdr>
        <w:top w:val="none" w:sz="0" w:space="0" w:color="auto"/>
        <w:left w:val="none" w:sz="0" w:space="0" w:color="auto"/>
        <w:bottom w:val="none" w:sz="0" w:space="0" w:color="auto"/>
        <w:right w:val="none" w:sz="0" w:space="0" w:color="auto"/>
      </w:divBdr>
    </w:div>
    <w:div w:id="1480152082">
      <w:bodyDiv w:val="1"/>
      <w:marLeft w:val="0"/>
      <w:marRight w:val="0"/>
      <w:marTop w:val="0"/>
      <w:marBottom w:val="0"/>
      <w:divBdr>
        <w:top w:val="none" w:sz="0" w:space="0" w:color="auto"/>
        <w:left w:val="none" w:sz="0" w:space="0" w:color="auto"/>
        <w:bottom w:val="none" w:sz="0" w:space="0" w:color="auto"/>
        <w:right w:val="none" w:sz="0" w:space="0" w:color="auto"/>
      </w:divBdr>
    </w:div>
    <w:div w:id="1807426527">
      <w:bodyDiv w:val="1"/>
      <w:marLeft w:val="0"/>
      <w:marRight w:val="0"/>
      <w:marTop w:val="0"/>
      <w:marBottom w:val="0"/>
      <w:divBdr>
        <w:top w:val="none" w:sz="0" w:space="0" w:color="auto"/>
        <w:left w:val="none" w:sz="0" w:space="0" w:color="auto"/>
        <w:bottom w:val="none" w:sz="0" w:space="0" w:color="auto"/>
        <w:right w:val="none" w:sz="0" w:space="0" w:color="auto"/>
      </w:divBdr>
      <w:divsChild>
        <w:div w:id="906186334">
          <w:marLeft w:val="0"/>
          <w:marRight w:val="0"/>
          <w:marTop w:val="0"/>
          <w:marBottom w:val="0"/>
          <w:divBdr>
            <w:top w:val="none" w:sz="0" w:space="0" w:color="auto"/>
            <w:left w:val="none" w:sz="0" w:space="0" w:color="auto"/>
            <w:bottom w:val="none" w:sz="0" w:space="0" w:color="auto"/>
            <w:right w:val="none" w:sz="0" w:space="0" w:color="auto"/>
          </w:divBdr>
          <w:divsChild>
            <w:div w:id="1782645378">
              <w:marLeft w:val="0"/>
              <w:marRight w:val="0"/>
              <w:marTop w:val="0"/>
              <w:marBottom w:val="0"/>
              <w:divBdr>
                <w:top w:val="none" w:sz="0" w:space="0" w:color="auto"/>
                <w:left w:val="none" w:sz="0" w:space="0" w:color="auto"/>
                <w:bottom w:val="single" w:sz="6" w:space="0" w:color="EEEEEE"/>
                <w:right w:val="none" w:sz="0" w:space="0" w:color="auto"/>
              </w:divBdr>
              <w:divsChild>
                <w:div w:id="768890218">
                  <w:marLeft w:val="0"/>
                  <w:marRight w:val="0"/>
                  <w:marTop w:val="0"/>
                  <w:marBottom w:val="0"/>
                  <w:divBdr>
                    <w:top w:val="none" w:sz="0" w:space="0" w:color="auto"/>
                    <w:left w:val="none" w:sz="0" w:space="0" w:color="auto"/>
                    <w:bottom w:val="single" w:sz="6" w:space="0" w:color="EEEEEE"/>
                    <w:right w:val="none" w:sz="0" w:space="0" w:color="auto"/>
                  </w:divBdr>
                  <w:divsChild>
                    <w:div w:id="781799981">
                      <w:marLeft w:val="0"/>
                      <w:marRight w:val="0"/>
                      <w:marTop w:val="0"/>
                      <w:marBottom w:val="0"/>
                      <w:divBdr>
                        <w:top w:val="none" w:sz="0" w:space="0" w:color="auto"/>
                        <w:left w:val="none" w:sz="0" w:space="0" w:color="auto"/>
                        <w:bottom w:val="none" w:sz="0" w:space="0" w:color="auto"/>
                        <w:right w:val="none" w:sz="0" w:space="0" w:color="auto"/>
                      </w:divBdr>
                      <w:divsChild>
                        <w:div w:id="1294680457">
                          <w:marLeft w:val="0"/>
                          <w:marRight w:val="0"/>
                          <w:marTop w:val="0"/>
                          <w:marBottom w:val="0"/>
                          <w:divBdr>
                            <w:top w:val="none" w:sz="0" w:space="0" w:color="auto"/>
                            <w:left w:val="none" w:sz="0" w:space="0" w:color="auto"/>
                            <w:bottom w:val="none" w:sz="0" w:space="0" w:color="auto"/>
                            <w:right w:val="none" w:sz="0" w:space="0" w:color="auto"/>
                          </w:divBdr>
                          <w:divsChild>
                            <w:div w:id="11151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465246">
          <w:marLeft w:val="0"/>
          <w:marRight w:val="0"/>
          <w:marTop w:val="0"/>
          <w:marBottom w:val="0"/>
          <w:divBdr>
            <w:top w:val="none" w:sz="0" w:space="0" w:color="auto"/>
            <w:left w:val="none" w:sz="0" w:space="0" w:color="auto"/>
            <w:bottom w:val="none" w:sz="0" w:space="0" w:color="auto"/>
            <w:right w:val="none" w:sz="0" w:space="0" w:color="auto"/>
          </w:divBdr>
          <w:divsChild>
            <w:div w:id="218981849">
              <w:marLeft w:val="0"/>
              <w:marRight w:val="0"/>
              <w:marTop w:val="0"/>
              <w:marBottom w:val="0"/>
              <w:divBdr>
                <w:top w:val="none" w:sz="0" w:space="0" w:color="auto"/>
                <w:left w:val="none" w:sz="0" w:space="0" w:color="auto"/>
                <w:bottom w:val="none" w:sz="0" w:space="0" w:color="auto"/>
                <w:right w:val="none" w:sz="0" w:space="0" w:color="auto"/>
              </w:divBdr>
              <w:divsChild>
                <w:div w:id="1373265170">
                  <w:marLeft w:val="0"/>
                  <w:marRight w:val="450"/>
                  <w:marTop w:val="0"/>
                  <w:marBottom w:val="0"/>
                  <w:divBdr>
                    <w:top w:val="none" w:sz="0" w:space="0" w:color="auto"/>
                    <w:left w:val="none" w:sz="0" w:space="0" w:color="auto"/>
                    <w:bottom w:val="none" w:sz="0" w:space="0" w:color="auto"/>
                    <w:right w:val="none" w:sz="0" w:space="0" w:color="auto"/>
                  </w:divBdr>
                  <w:divsChild>
                    <w:div w:id="121728276">
                      <w:marLeft w:val="0"/>
                      <w:marRight w:val="0"/>
                      <w:marTop w:val="0"/>
                      <w:marBottom w:val="0"/>
                      <w:divBdr>
                        <w:top w:val="none" w:sz="0" w:space="0" w:color="auto"/>
                        <w:left w:val="none" w:sz="0" w:space="0" w:color="auto"/>
                        <w:bottom w:val="none" w:sz="0" w:space="0" w:color="auto"/>
                        <w:right w:val="none" w:sz="0" w:space="0" w:color="auto"/>
                      </w:divBdr>
                      <w:divsChild>
                        <w:div w:id="468593534">
                          <w:marLeft w:val="0"/>
                          <w:marRight w:val="0"/>
                          <w:marTop w:val="0"/>
                          <w:marBottom w:val="0"/>
                          <w:divBdr>
                            <w:top w:val="none" w:sz="0" w:space="0" w:color="auto"/>
                            <w:left w:val="none" w:sz="0" w:space="0" w:color="auto"/>
                            <w:bottom w:val="none" w:sz="0" w:space="0" w:color="auto"/>
                            <w:right w:val="none" w:sz="0" w:space="0" w:color="auto"/>
                          </w:divBdr>
                        </w:div>
                        <w:div w:id="1699966650">
                          <w:marLeft w:val="0"/>
                          <w:marRight w:val="0"/>
                          <w:marTop w:val="0"/>
                          <w:marBottom w:val="150"/>
                          <w:divBdr>
                            <w:top w:val="none" w:sz="0" w:space="0" w:color="auto"/>
                            <w:left w:val="none" w:sz="0" w:space="0" w:color="auto"/>
                            <w:bottom w:val="none" w:sz="0" w:space="0" w:color="auto"/>
                            <w:right w:val="none" w:sz="0" w:space="0" w:color="auto"/>
                          </w:divBdr>
                          <w:divsChild>
                            <w:div w:id="4486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842">
          <w:marLeft w:val="0"/>
          <w:marRight w:val="0"/>
          <w:marTop w:val="0"/>
          <w:marBottom w:val="0"/>
          <w:divBdr>
            <w:top w:val="none" w:sz="0" w:space="0" w:color="auto"/>
            <w:left w:val="none" w:sz="0" w:space="0" w:color="auto"/>
            <w:bottom w:val="none" w:sz="0" w:space="0" w:color="auto"/>
            <w:right w:val="none" w:sz="0" w:space="0" w:color="auto"/>
          </w:divBdr>
          <w:divsChild>
            <w:div w:id="104010782">
              <w:marLeft w:val="-225"/>
              <w:marRight w:val="-225"/>
              <w:marTop w:val="0"/>
              <w:marBottom w:val="100"/>
              <w:divBdr>
                <w:top w:val="none" w:sz="0" w:space="0" w:color="auto"/>
                <w:left w:val="none" w:sz="0" w:space="0" w:color="auto"/>
                <w:bottom w:val="none" w:sz="0" w:space="0" w:color="auto"/>
                <w:right w:val="none" w:sz="0" w:space="0" w:color="auto"/>
              </w:divBdr>
              <w:divsChild>
                <w:div w:id="1156532146">
                  <w:marLeft w:val="0"/>
                  <w:marRight w:val="0"/>
                  <w:marTop w:val="0"/>
                  <w:marBottom w:val="0"/>
                  <w:divBdr>
                    <w:top w:val="none" w:sz="0" w:space="0" w:color="auto"/>
                    <w:left w:val="none" w:sz="0" w:space="0" w:color="auto"/>
                    <w:bottom w:val="none" w:sz="0" w:space="0" w:color="auto"/>
                    <w:right w:val="none" w:sz="0" w:space="0" w:color="auto"/>
                  </w:divBdr>
                  <w:divsChild>
                    <w:div w:id="1757743633">
                      <w:marLeft w:val="-225"/>
                      <w:marRight w:val="-225"/>
                      <w:marTop w:val="0"/>
                      <w:marBottom w:val="100"/>
                      <w:divBdr>
                        <w:top w:val="none" w:sz="0" w:space="0" w:color="auto"/>
                        <w:left w:val="none" w:sz="0" w:space="0" w:color="auto"/>
                        <w:bottom w:val="none" w:sz="0" w:space="0" w:color="auto"/>
                        <w:right w:val="none" w:sz="0" w:space="0" w:color="auto"/>
                      </w:divBdr>
                      <w:divsChild>
                        <w:div w:id="2094204627">
                          <w:marLeft w:val="0"/>
                          <w:marRight w:val="0"/>
                          <w:marTop w:val="0"/>
                          <w:marBottom w:val="0"/>
                          <w:divBdr>
                            <w:top w:val="none" w:sz="0" w:space="0" w:color="auto"/>
                            <w:left w:val="none" w:sz="0" w:space="0" w:color="auto"/>
                            <w:bottom w:val="none" w:sz="0" w:space="0" w:color="auto"/>
                            <w:right w:val="none" w:sz="0" w:space="0" w:color="auto"/>
                          </w:divBdr>
                          <w:divsChild>
                            <w:div w:id="15046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7265">
                      <w:marLeft w:val="0"/>
                      <w:marRight w:val="0"/>
                      <w:marTop w:val="0"/>
                      <w:marBottom w:val="450"/>
                      <w:divBdr>
                        <w:top w:val="none" w:sz="0" w:space="0" w:color="auto"/>
                        <w:left w:val="none" w:sz="0" w:space="0" w:color="auto"/>
                        <w:bottom w:val="none" w:sz="0" w:space="0" w:color="auto"/>
                        <w:right w:val="none" w:sz="0" w:space="0" w:color="auto"/>
                      </w:divBdr>
                      <w:divsChild>
                        <w:div w:id="849608996">
                          <w:marLeft w:val="0"/>
                          <w:marRight w:val="0"/>
                          <w:marTop w:val="0"/>
                          <w:marBottom w:val="150"/>
                          <w:divBdr>
                            <w:top w:val="none" w:sz="0" w:space="0" w:color="auto"/>
                            <w:left w:val="none" w:sz="0" w:space="0" w:color="auto"/>
                            <w:bottom w:val="none" w:sz="0" w:space="0" w:color="auto"/>
                            <w:right w:val="none" w:sz="0" w:space="0" w:color="auto"/>
                          </w:divBdr>
                        </w:div>
                        <w:div w:id="710305465">
                          <w:marLeft w:val="0"/>
                          <w:marRight w:val="0"/>
                          <w:marTop w:val="0"/>
                          <w:marBottom w:val="0"/>
                          <w:divBdr>
                            <w:top w:val="none" w:sz="0" w:space="0" w:color="auto"/>
                            <w:left w:val="none" w:sz="0" w:space="0" w:color="auto"/>
                            <w:bottom w:val="none" w:sz="0" w:space="0" w:color="auto"/>
                            <w:right w:val="none" w:sz="0" w:space="0" w:color="auto"/>
                          </w:divBdr>
                          <w:divsChild>
                            <w:div w:id="1269004129">
                              <w:marLeft w:val="0"/>
                              <w:marRight w:val="0"/>
                              <w:marTop w:val="0"/>
                              <w:marBottom w:val="150"/>
                              <w:divBdr>
                                <w:top w:val="none" w:sz="0" w:space="0" w:color="auto"/>
                                <w:left w:val="none" w:sz="0" w:space="0" w:color="auto"/>
                                <w:bottom w:val="none" w:sz="0" w:space="0" w:color="auto"/>
                                <w:right w:val="none" w:sz="0" w:space="0" w:color="auto"/>
                              </w:divBdr>
                              <w:divsChild>
                                <w:div w:id="1364089621">
                                  <w:marLeft w:val="-225"/>
                                  <w:marRight w:val="-225"/>
                                  <w:marTop w:val="0"/>
                                  <w:marBottom w:val="100"/>
                                  <w:divBdr>
                                    <w:top w:val="none" w:sz="0" w:space="0" w:color="auto"/>
                                    <w:left w:val="none" w:sz="0" w:space="0" w:color="auto"/>
                                    <w:bottom w:val="none" w:sz="0" w:space="0" w:color="auto"/>
                                    <w:right w:val="none" w:sz="0" w:space="0" w:color="auto"/>
                                  </w:divBdr>
                                  <w:divsChild>
                                    <w:div w:id="13983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9728">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47705">
      <w:bodyDiv w:val="1"/>
      <w:marLeft w:val="0"/>
      <w:marRight w:val="0"/>
      <w:marTop w:val="0"/>
      <w:marBottom w:val="0"/>
      <w:divBdr>
        <w:top w:val="none" w:sz="0" w:space="0" w:color="auto"/>
        <w:left w:val="none" w:sz="0" w:space="0" w:color="auto"/>
        <w:bottom w:val="none" w:sz="0" w:space="0" w:color="auto"/>
        <w:right w:val="none" w:sz="0" w:space="0" w:color="auto"/>
      </w:divBdr>
      <w:divsChild>
        <w:div w:id="1498302969">
          <w:marLeft w:val="0"/>
          <w:marRight w:val="0"/>
          <w:marTop w:val="166"/>
          <w:marBottom w:val="166"/>
          <w:divBdr>
            <w:top w:val="none" w:sz="0" w:space="0" w:color="auto"/>
            <w:left w:val="none" w:sz="0" w:space="0" w:color="auto"/>
            <w:bottom w:val="none" w:sz="0" w:space="0" w:color="auto"/>
            <w:right w:val="none" w:sz="0" w:space="0" w:color="auto"/>
          </w:divBdr>
          <w:divsChild>
            <w:div w:id="4407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med.ncbi.nlm.nih.gov/3474017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1525209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80/17453674.2021.1879505" TargetMode="External"/><Relationship Id="rId4" Type="http://schemas.openxmlformats.org/officeDocument/2006/relationships/settings" Target="settings.xml"/><Relationship Id="rId9" Type="http://schemas.openxmlformats.org/officeDocument/2006/relationships/hyperlink" Target="https://www.linkedin.com/posts/dr-steven-shaw-336a6a4_adjacent-segment-disease-asd-question-for-activity-6962422880932405249-qQbk?utm_source=linkedin_share&amp;utm_medium=member_desktop_web"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449A8-D10B-49A9-87CB-CE4D5394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w. Shaw</dc:creator>
  <cp:lastModifiedBy>Steven Shaw, M.S., D.C., F.A.C.O</cp:lastModifiedBy>
  <cp:revision>3</cp:revision>
  <cp:lastPrinted>2022-08-11T10:41:00Z</cp:lastPrinted>
  <dcterms:created xsi:type="dcterms:W3CDTF">2022-08-11T10:41:00Z</dcterms:created>
  <dcterms:modified xsi:type="dcterms:W3CDTF">2022-08-11T10:42:00Z</dcterms:modified>
</cp:coreProperties>
</file>