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76" w:rsidRPr="00076415" w:rsidRDefault="007A722E" w:rsidP="00076415">
      <w:pPr>
        <w:widowControl w:val="0"/>
        <w:autoSpaceDE w:val="0"/>
        <w:autoSpaceDN w:val="0"/>
        <w:adjustRightInd w:val="0"/>
        <w:jc w:val="center"/>
        <w:rPr>
          <w:rFonts w:ascii="Sakkal Majalla" w:eastAsiaTheme="minorEastAsia" w:hAnsi="Sakkal Majalla" w:cs="Sakkal Majalla"/>
          <w:b/>
          <w:bCs/>
          <w:color w:val="0000FF"/>
          <w:szCs w:val="24"/>
        </w:rPr>
      </w:pPr>
      <w:r>
        <w:rPr>
          <w:rFonts w:eastAsiaTheme="minorEastAsia"/>
          <w:b/>
          <w:bCs/>
          <w:color w:val="000080"/>
          <w:sz w:val="44"/>
          <w:szCs w:val="44"/>
        </w:rPr>
        <w:t>Colossus and M</w:t>
      </w:r>
      <w:r w:rsidR="00076415" w:rsidRPr="00076415">
        <w:rPr>
          <w:rFonts w:eastAsiaTheme="minorEastAsia"/>
          <w:b/>
          <w:bCs/>
          <w:color w:val="000080"/>
          <w:sz w:val="44"/>
          <w:szCs w:val="44"/>
        </w:rPr>
        <w:t>edical Management: Part 2</w:t>
      </w:r>
    </w:p>
    <w:p w:rsidR="00B61E76" w:rsidRDefault="00B61E76" w:rsidP="00B61E76">
      <w:pPr>
        <w:widowControl w:val="0"/>
        <w:tabs>
          <w:tab w:val="left" w:pos="-72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720" w:right="90"/>
        <w:jc w:val="both"/>
        <w:rPr>
          <w:rFonts w:eastAsiaTheme="minorEastAsia"/>
          <w:color w:val="000000"/>
          <w:sz w:val="22"/>
          <w:szCs w:val="22"/>
        </w:rPr>
      </w:pP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Pr>
          <w:rFonts w:eastAsiaTheme="minorEastAsia"/>
          <w:color w:val="000000"/>
          <w:sz w:val="22"/>
          <w:szCs w:val="22"/>
        </w:rPr>
        <w:t xml:space="preserve">This </w:t>
      </w:r>
      <w:r w:rsidRPr="00B61E76">
        <w:rPr>
          <w:rFonts w:eastAsiaTheme="minorEastAsia"/>
          <w:color w:val="000000"/>
          <w:sz w:val="22"/>
          <w:szCs w:val="22"/>
        </w:rPr>
        <w:t>newsletter is a follow-up on my last Colossus newsletter. The feedback was tremendous from the first newsletter and  for that reason I will continue on this topic for a while. The number one question posed to me was to define some of the specific “factors” discussed in the first newsletter regarding the dissection sheet. To address this, I will devote this newsletter to the dissection sheets use by carriers to organize the accident data</w:t>
      </w:r>
    </w:p>
    <w:p w:rsidR="00B61E76" w:rsidRPr="00B61E76" w:rsidRDefault="007A722E" w:rsidP="007A722E">
      <w:pPr>
        <w:widowControl w:val="0"/>
        <w:tabs>
          <w:tab w:val="left" w:pos="8928"/>
        </w:tabs>
        <w:autoSpaceDE w:val="0"/>
        <w:autoSpaceDN w:val="0"/>
        <w:adjustRightInd w:val="0"/>
        <w:ind w:left="-270" w:right="360"/>
        <w:jc w:val="both"/>
        <w:rPr>
          <w:rFonts w:eastAsiaTheme="minorEastAsia"/>
          <w:color w:val="000000"/>
          <w:sz w:val="22"/>
          <w:szCs w:val="22"/>
        </w:rPr>
      </w:pPr>
      <w:r>
        <w:rPr>
          <w:rFonts w:eastAsiaTheme="minorEastAsia"/>
          <w:color w:val="000000"/>
          <w:sz w:val="22"/>
          <w:szCs w:val="22"/>
        </w:rPr>
        <w:tab/>
      </w:r>
      <w:bookmarkStart w:id="0" w:name="_GoBack"/>
      <w:bookmarkEnd w:id="0"/>
    </w:p>
    <w:p w:rsid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color w:val="000000"/>
          <w:sz w:val="22"/>
          <w:szCs w:val="22"/>
        </w:rPr>
        <w:t>To refresh your memory, the dissection sheet is a short form that essentially represents a summary of the most significant factors to be entered into the Colossus program. It is in no way comprehensive and still very subject to the adjuster or data entry person’s ability to gather the information from the doctors reports and all available records. For this reason, the philosophy of organizing the reports and records in an easily digestible format still remains of primary importance. If this data is not readily available for the carrier to enter on the dissection sheet it is unlikely that the information will be entered into the computer and considered by Colossus.</w:t>
      </w:r>
    </w:p>
    <w:p w:rsidR="00076415" w:rsidRPr="00B61E76" w:rsidRDefault="00076415"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center"/>
        <w:rPr>
          <w:rFonts w:eastAsiaTheme="minorEastAsia"/>
          <w:color w:val="000000"/>
          <w:sz w:val="22"/>
          <w:szCs w:val="22"/>
        </w:rPr>
      </w:pPr>
      <w:r w:rsidRPr="00B61E76">
        <w:rPr>
          <w:rFonts w:eastAsiaTheme="minorEastAsia"/>
          <w:b/>
          <w:bCs/>
          <w:color w:val="000000"/>
          <w:sz w:val="22"/>
          <w:szCs w:val="22"/>
          <w:u w:val="single"/>
        </w:rPr>
        <w:t>FACTORS INCLUDE:</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Geographic Region</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Lost Wages</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Attorney Representation</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Limb Dominance</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Pre-existing injury (&lt; or &gt; 24 months)</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Subsequent Injury</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Date of 1st treatment and last treatment</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Delays/gaps in care</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Duties Under Duress</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Specialty Care</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Number of visits</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Imaging Studies</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b/>
          <w:bCs/>
          <w:color w:val="000080"/>
          <w:sz w:val="22"/>
          <w:szCs w:val="22"/>
        </w:rPr>
      </w:pPr>
      <w:r w:rsidRPr="00B61E76">
        <w:rPr>
          <w:rFonts w:eastAsiaTheme="minorEastAsia"/>
          <w:b/>
          <w:bCs/>
          <w:color w:val="000080"/>
          <w:sz w:val="22"/>
          <w:szCs w:val="22"/>
        </w:rPr>
        <w:t>Complication of Injuries (ex. delayed healing)</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 xml:space="preserve">Future Care </w:t>
      </w:r>
      <w:r w:rsidR="00076415" w:rsidRPr="00B61E76">
        <w:rPr>
          <w:rFonts w:eastAsiaTheme="minorEastAsia"/>
          <w:b/>
          <w:bCs/>
          <w:color w:val="000080"/>
          <w:sz w:val="22"/>
          <w:szCs w:val="22"/>
        </w:rPr>
        <w:t>requirements</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Vehicle Damage</w:t>
      </w:r>
      <w:r w:rsidR="00076415">
        <w:rPr>
          <w:rFonts w:eastAsiaTheme="minorEastAsia"/>
          <w:color w:val="000000"/>
          <w:sz w:val="22"/>
          <w:szCs w:val="22"/>
        </w:rPr>
        <w:t xml:space="preserve">: </w:t>
      </w:r>
      <w:r w:rsidRPr="00B61E76">
        <w:rPr>
          <w:rFonts w:eastAsiaTheme="minorEastAsia"/>
          <w:color w:val="000000"/>
          <w:sz w:val="22"/>
          <w:szCs w:val="22"/>
        </w:rPr>
        <w:t>Light, Moderate, Major ,Pedestrian</w:t>
      </w:r>
      <w:r w:rsidRPr="00B61E76">
        <w:rPr>
          <w:rFonts w:eastAsiaTheme="minorEastAsia"/>
          <w:color w:val="000000"/>
          <w:sz w:val="22"/>
          <w:szCs w:val="22"/>
        </w:rPr>
        <w:tab/>
      </w:r>
      <w:r w:rsidRPr="00B61E76">
        <w:rPr>
          <w:rFonts w:eastAsiaTheme="minorEastAsia"/>
          <w:color w:val="000000"/>
          <w:sz w:val="22"/>
          <w:szCs w:val="22"/>
        </w:rPr>
        <w:tab/>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Severity of Impact:</w:t>
      </w:r>
      <w:r w:rsidR="00076415">
        <w:rPr>
          <w:rFonts w:eastAsiaTheme="minorEastAsia"/>
          <w:color w:val="000000"/>
          <w:sz w:val="22"/>
          <w:szCs w:val="22"/>
        </w:rPr>
        <w:t xml:space="preserve"> </w:t>
      </w:r>
      <w:r w:rsidRPr="00B61E76">
        <w:rPr>
          <w:rFonts w:eastAsiaTheme="minorEastAsia"/>
          <w:color w:val="000000"/>
          <w:sz w:val="22"/>
          <w:szCs w:val="22"/>
        </w:rPr>
        <w:t>Minor, Moderate, Severe</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Liability</w:t>
      </w:r>
      <w:r w:rsidRPr="00B61E76">
        <w:rPr>
          <w:rFonts w:eastAsiaTheme="minorEastAsia"/>
          <w:color w:val="000000"/>
          <w:sz w:val="22"/>
          <w:szCs w:val="22"/>
        </w:rPr>
        <w:t>:</w:t>
      </w:r>
      <w:r w:rsidR="00076415">
        <w:rPr>
          <w:rFonts w:eastAsiaTheme="minorEastAsia"/>
          <w:color w:val="000000"/>
          <w:sz w:val="22"/>
          <w:szCs w:val="22"/>
        </w:rPr>
        <w:t xml:space="preserve"> </w:t>
      </w:r>
      <w:r w:rsidRPr="00B61E76">
        <w:rPr>
          <w:rFonts w:eastAsiaTheme="minorEastAsia"/>
          <w:color w:val="000000"/>
          <w:sz w:val="22"/>
          <w:szCs w:val="22"/>
        </w:rPr>
        <w:t>Clear, Unclear, Contested, Aggravated</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Aggravating Factors</w:t>
      </w:r>
      <w:r w:rsidRPr="00B61E76">
        <w:rPr>
          <w:rFonts w:eastAsiaTheme="minorEastAsia"/>
          <w:color w:val="000000"/>
          <w:sz w:val="22"/>
          <w:szCs w:val="22"/>
        </w:rPr>
        <w:t>:</w:t>
      </w:r>
      <w:r w:rsidR="00076415">
        <w:rPr>
          <w:rFonts w:eastAsiaTheme="minorEastAsia"/>
          <w:color w:val="000000"/>
          <w:sz w:val="22"/>
          <w:szCs w:val="22"/>
        </w:rPr>
        <w:t xml:space="preserve"> </w:t>
      </w:r>
      <w:r w:rsidRPr="00B61E76">
        <w:rPr>
          <w:rFonts w:eastAsiaTheme="minorEastAsia"/>
          <w:color w:val="000000"/>
          <w:sz w:val="22"/>
          <w:szCs w:val="22"/>
        </w:rPr>
        <w:t>Seatbelt use, Intoxication, Pregnancy, Helmet, (motorcycle), Defendant leaving scene, Defendant being bad witness, High speed, Trial lawyer history</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color w:val="000000"/>
          <w:sz w:val="22"/>
          <w:szCs w:val="22"/>
        </w:rPr>
        <w:t>I</w:t>
      </w:r>
      <w:r w:rsidRPr="00B61E76">
        <w:rPr>
          <w:rFonts w:eastAsiaTheme="minorEastAsia"/>
          <w:b/>
          <w:bCs/>
          <w:color w:val="000080"/>
          <w:sz w:val="22"/>
          <w:szCs w:val="22"/>
        </w:rPr>
        <w:t>njuries</w:t>
      </w:r>
      <w:r w:rsidRPr="00B61E76">
        <w:rPr>
          <w:rFonts w:eastAsiaTheme="minorEastAsia"/>
          <w:color w:val="000000"/>
          <w:sz w:val="22"/>
          <w:szCs w:val="22"/>
        </w:rPr>
        <w:t>: (aka Diagnosis) ICDA codes on first date of service.</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General Injury Category</w:t>
      </w:r>
      <w:r w:rsidRPr="00B61E76">
        <w:rPr>
          <w:rFonts w:eastAsiaTheme="minorEastAsia"/>
          <w:color w:val="000000"/>
          <w:sz w:val="22"/>
          <w:szCs w:val="22"/>
        </w:rPr>
        <w:t>:</w:t>
      </w:r>
      <w:r w:rsidR="00076415">
        <w:rPr>
          <w:rFonts w:eastAsiaTheme="minorEastAsia"/>
          <w:color w:val="000000"/>
          <w:sz w:val="22"/>
          <w:szCs w:val="22"/>
        </w:rPr>
        <w:t xml:space="preserve"> </w:t>
      </w:r>
      <w:r w:rsidRPr="00B61E76">
        <w:rPr>
          <w:rFonts w:eastAsiaTheme="minorEastAsia"/>
          <w:color w:val="000000"/>
          <w:sz w:val="22"/>
          <w:szCs w:val="22"/>
        </w:rPr>
        <w:t xml:space="preserve">Amputation, Concussion, Crush, Extensive Soft Tissue, </w:t>
      </w:r>
      <w:proofErr w:type="spellStart"/>
      <w:r w:rsidRPr="00B61E76">
        <w:rPr>
          <w:rFonts w:eastAsiaTheme="minorEastAsia"/>
          <w:color w:val="000000"/>
          <w:sz w:val="22"/>
          <w:szCs w:val="22"/>
        </w:rPr>
        <w:t>Degloving</w:t>
      </w:r>
      <w:proofErr w:type="spellEnd"/>
      <w:r w:rsidRPr="00B61E76">
        <w:rPr>
          <w:rFonts w:eastAsiaTheme="minorEastAsia"/>
          <w:color w:val="000000"/>
          <w:sz w:val="22"/>
          <w:szCs w:val="22"/>
        </w:rPr>
        <w:t>,, Contusion, Soft tissue, Whiplash, Disc Injury, Dislocation, Fracture/</w:t>
      </w:r>
      <w:proofErr w:type="spellStart"/>
      <w:r w:rsidRPr="00B61E76">
        <w:rPr>
          <w:rFonts w:eastAsiaTheme="minorEastAsia"/>
          <w:color w:val="000000"/>
          <w:sz w:val="22"/>
          <w:szCs w:val="22"/>
        </w:rPr>
        <w:t>Disclocation</w:t>
      </w:r>
      <w:proofErr w:type="spellEnd"/>
      <w:r w:rsidRPr="00B61E76">
        <w:rPr>
          <w:rFonts w:eastAsiaTheme="minorEastAsia"/>
          <w:color w:val="000000"/>
          <w:sz w:val="22"/>
          <w:szCs w:val="22"/>
        </w:rPr>
        <w:t>, Fracture, Lacerating/Penetrating Injury, Ligament, Tendon injury ,Superficial , Sprain</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Complaints:</w:t>
      </w:r>
      <w:r w:rsidR="00076415">
        <w:rPr>
          <w:rFonts w:eastAsiaTheme="minorEastAsia"/>
          <w:color w:val="000000"/>
          <w:sz w:val="22"/>
          <w:szCs w:val="22"/>
        </w:rPr>
        <w:t xml:space="preserve"> </w:t>
      </w:r>
      <w:r w:rsidRPr="00B61E76">
        <w:rPr>
          <w:rFonts w:eastAsiaTheme="minorEastAsia"/>
          <w:color w:val="000000"/>
          <w:sz w:val="22"/>
          <w:szCs w:val="22"/>
        </w:rPr>
        <w:t xml:space="preserve">None, Muscle Spasms, Restriction of Motion, Radiating Pain, Headaches, Dizziness, Vision Disturbance, TMJ pain, Anxiety, Depression, Neurosis, loss of ROM, radiation of pain, </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Treatment</w:t>
      </w:r>
      <w:r w:rsidR="00076415">
        <w:rPr>
          <w:rFonts w:eastAsiaTheme="minorEastAsia"/>
          <w:color w:val="000000"/>
          <w:sz w:val="22"/>
          <w:szCs w:val="22"/>
        </w:rPr>
        <w:t xml:space="preserve"> </w:t>
      </w:r>
      <w:r w:rsidRPr="00B61E76">
        <w:rPr>
          <w:rFonts w:eastAsiaTheme="minorEastAsia"/>
          <w:color w:val="000000"/>
          <w:sz w:val="22"/>
          <w:szCs w:val="22"/>
        </w:rPr>
        <w:t xml:space="preserve">Hospitalization, confinement to bed, immobilization (short/long term), injections, TENS (how long), home traction (# of months), medications (short/long term, regular/ intermittent), casting, self exercise (short/long </w:t>
      </w:r>
      <w:r w:rsidRPr="00B61E76">
        <w:rPr>
          <w:rFonts w:eastAsiaTheme="minorEastAsia"/>
          <w:color w:val="000000"/>
          <w:sz w:val="22"/>
          <w:szCs w:val="22"/>
        </w:rPr>
        <w:lastRenderedPageBreak/>
        <w:t xml:space="preserve">term), physical therapy (must be MD or DC prescribed), MRI , </w:t>
      </w:r>
      <w:proofErr w:type="spellStart"/>
      <w:r w:rsidRPr="00B61E76">
        <w:rPr>
          <w:rFonts w:eastAsiaTheme="minorEastAsia"/>
          <w:color w:val="000000"/>
          <w:sz w:val="22"/>
          <w:szCs w:val="22"/>
        </w:rPr>
        <w:t>Myelogram</w:t>
      </w:r>
      <w:proofErr w:type="spellEnd"/>
      <w:r w:rsidRPr="00B61E76">
        <w:rPr>
          <w:rFonts w:eastAsiaTheme="minorEastAsia"/>
          <w:color w:val="000000"/>
          <w:sz w:val="22"/>
          <w:szCs w:val="22"/>
        </w:rPr>
        <w:t>/</w:t>
      </w:r>
      <w:proofErr w:type="spellStart"/>
      <w:r w:rsidRPr="00B61E76">
        <w:rPr>
          <w:rFonts w:eastAsiaTheme="minorEastAsia"/>
          <w:color w:val="000000"/>
          <w:sz w:val="22"/>
          <w:szCs w:val="22"/>
        </w:rPr>
        <w:t>Discogram</w:t>
      </w:r>
      <w:proofErr w:type="spellEnd"/>
      <w:r w:rsidRPr="00B61E76">
        <w:rPr>
          <w:rFonts w:eastAsiaTheme="minorEastAsia"/>
          <w:color w:val="000000"/>
          <w:sz w:val="22"/>
          <w:szCs w:val="22"/>
        </w:rPr>
        <w:t>, Epidural injections.</w:t>
      </w:r>
    </w:p>
    <w:p w:rsidR="00B61E76" w:rsidRPr="00B61E76" w:rsidRDefault="00076415"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Pr>
          <w:rFonts w:eastAsiaTheme="minorEastAsia"/>
          <w:noProof/>
          <w:szCs w:val="24"/>
        </w:rPr>
        <w:drawing>
          <wp:anchor distT="0" distB="0" distL="114300" distR="114300" simplePos="0" relativeHeight="251658240" behindDoc="0" locked="0" layoutInCell="1" allowOverlap="1" wp14:anchorId="552C24B4" wp14:editId="1988ECDA">
            <wp:simplePos x="0" y="0"/>
            <wp:positionH relativeFrom="column">
              <wp:posOffset>4933950</wp:posOffset>
            </wp:positionH>
            <wp:positionV relativeFrom="paragraph">
              <wp:posOffset>-42545</wp:posOffset>
            </wp:positionV>
            <wp:extent cx="1447800" cy="1724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490" t="-185" r="-490" b="-185"/>
                    <a:stretch>
                      <a:fillRect/>
                    </a:stretch>
                  </pic:blipFill>
                  <pic:spPr bwMode="auto">
                    <a:xfrm>
                      <a:off x="0" y="0"/>
                      <a:ext cx="14478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E76" w:rsidRPr="00B61E76">
        <w:rPr>
          <w:rFonts w:eastAsiaTheme="minorEastAsia"/>
          <w:b/>
          <w:bCs/>
          <w:color w:val="000080"/>
          <w:sz w:val="22"/>
          <w:szCs w:val="22"/>
        </w:rPr>
        <w:t>Impairment</w:t>
      </w:r>
      <w:r>
        <w:rPr>
          <w:rFonts w:eastAsiaTheme="minorEastAsia"/>
          <w:color w:val="000000"/>
          <w:sz w:val="22"/>
          <w:szCs w:val="22"/>
        </w:rPr>
        <w:t xml:space="preserve"> </w:t>
      </w:r>
      <w:r w:rsidR="00B61E76" w:rsidRPr="00B61E76">
        <w:rPr>
          <w:rFonts w:eastAsiaTheme="minorEastAsia"/>
          <w:color w:val="000000"/>
          <w:sz w:val="22"/>
          <w:szCs w:val="22"/>
        </w:rPr>
        <w:t>subjective or objective</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r w:rsidRPr="00B61E76">
        <w:rPr>
          <w:rFonts w:eastAsiaTheme="minorEastAsia"/>
          <w:b/>
          <w:bCs/>
          <w:color w:val="000080"/>
          <w:sz w:val="22"/>
          <w:szCs w:val="22"/>
        </w:rPr>
        <w:t>Prognosis (big value driver)</w:t>
      </w:r>
      <w:r w:rsidR="00076415">
        <w:rPr>
          <w:rFonts w:eastAsiaTheme="minorEastAsia"/>
          <w:color w:val="000000"/>
          <w:sz w:val="22"/>
          <w:szCs w:val="22"/>
        </w:rPr>
        <w:t xml:space="preserve"> </w:t>
      </w:r>
      <w:r w:rsidRPr="00B61E76">
        <w:rPr>
          <w:rFonts w:eastAsiaTheme="minorEastAsia"/>
          <w:color w:val="000000"/>
          <w:sz w:val="22"/>
          <w:szCs w:val="22"/>
        </w:rPr>
        <w:t>resolution undetermined, no complaints with no further treatment needed, complaints with further treatment required, guarded</w:t>
      </w: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 w:val="22"/>
          <w:szCs w:val="22"/>
        </w:rPr>
      </w:pPr>
    </w:p>
    <w:p w:rsidR="00B61E76" w:rsidRPr="00B61E76" w:rsidRDefault="00B61E76" w:rsidP="007A722E">
      <w:pPr>
        <w:framePr w:w="2277" w:h="2714" w:hRule="exact" w:hSpace="90" w:vSpace="90" w:wrap="auto" w:hAnchor="margin" w:x="6818" w:y="12309"/>
        <w:widowControl w:val="0"/>
        <w:pBdr>
          <w:top w:val="single" w:sz="6" w:space="0" w:color="FFFFFF"/>
          <w:left w:val="single" w:sz="6" w:space="0" w:color="FFFFFF"/>
          <w:bottom w:val="single" w:sz="6" w:space="0" w:color="FFFFFF"/>
          <w:right w:val="single" w:sz="6" w:space="0" w:color="FFFFFF"/>
        </w:pBdr>
        <w:autoSpaceDE w:val="0"/>
        <w:autoSpaceDN w:val="0"/>
        <w:adjustRightInd w:val="0"/>
        <w:ind w:left="-270" w:right="360"/>
        <w:rPr>
          <w:rFonts w:eastAsiaTheme="minorEastAsia"/>
          <w:szCs w:val="24"/>
        </w:rPr>
      </w:pPr>
    </w:p>
    <w:p w:rsidR="00B61E76" w:rsidRPr="00B61E76" w:rsidRDefault="00B61E76" w:rsidP="007A722E">
      <w:pPr>
        <w:widowControl w:val="0"/>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032"/>
          <w:tab w:val="left" w:pos="4320"/>
          <w:tab w:val="left" w:pos="4608"/>
          <w:tab w:val="left" w:pos="4896"/>
          <w:tab w:val="left" w:pos="5040"/>
          <w:tab w:val="left" w:pos="5184"/>
          <w:tab w:val="left" w:pos="5472"/>
          <w:tab w:val="left" w:pos="5760"/>
          <w:tab w:val="left" w:pos="6048"/>
          <w:tab w:val="left" w:pos="6336"/>
          <w:tab w:val="left" w:pos="6480"/>
          <w:tab w:val="left" w:pos="6624"/>
          <w:tab w:val="left" w:pos="6912"/>
          <w:tab w:val="left" w:pos="7200"/>
          <w:tab w:val="left" w:pos="7488"/>
          <w:tab w:val="left" w:pos="7776"/>
          <w:tab w:val="left" w:pos="7920"/>
          <w:tab w:val="left" w:pos="8064"/>
          <w:tab w:val="left" w:pos="8352"/>
          <w:tab w:val="left" w:pos="8640"/>
          <w:tab w:val="left" w:pos="8928"/>
        </w:tabs>
        <w:autoSpaceDE w:val="0"/>
        <w:autoSpaceDN w:val="0"/>
        <w:adjustRightInd w:val="0"/>
        <w:ind w:left="-270" w:right="360"/>
        <w:jc w:val="both"/>
        <w:rPr>
          <w:rFonts w:eastAsiaTheme="minorEastAsia"/>
          <w:color w:val="000000"/>
          <w:szCs w:val="24"/>
        </w:rPr>
      </w:pPr>
      <w:r w:rsidRPr="00B61E76">
        <w:rPr>
          <w:rFonts w:eastAsiaTheme="minorEastAsia"/>
          <w:color w:val="000000"/>
          <w:sz w:val="22"/>
          <w:szCs w:val="22"/>
        </w:rPr>
        <w:t xml:space="preserve">This short list of factors is just the beginning of the information you need to know. I strongly recommend that you invest in the purchase of </w:t>
      </w:r>
      <w:r w:rsidRPr="00B61E76">
        <w:rPr>
          <w:rFonts w:eastAsiaTheme="minorEastAsia"/>
          <w:color w:val="000000"/>
          <w:sz w:val="22"/>
          <w:szCs w:val="22"/>
          <w:u w:val="single"/>
        </w:rPr>
        <w:t>Colossus: What Every Lawyer Needs to Know</w:t>
      </w:r>
      <w:r w:rsidRPr="00B61E76">
        <w:rPr>
          <w:rFonts w:eastAsiaTheme="minorEastAsia"/>
          <w:color w:val="000000"/>
          <w:sz w:val="22"/>
          <w:szCs w:val="22"/>
        </w:rPr>
        <w:t xml:space="preserve"> written by physician/attorney Aaron </w:t>
      </w:r>
      <w:proofErr w:type="spellStart"/>
      <w:r w:rsidRPr="00B61E76">
        <w:rPr>
          <w:rFonts w:eastAsiaTheme="minorEastAsia"/>
          <w:color w:val="000000"/>
          <w:sz w:val="22"/>
          <w:szCs w:val="22"/>
        </w:rPr>
        <w:t>DeShaw</w:t>
      </w:r>
      <w:proofErr w:type="spellEnd"/>
      <w:r w:rsidRPr="00B61E76">
        <w:rPr>
          <w:rFonts w:eastAsiaTheme="minorEastAsia"/>
          <w:color w:val="000000"/>
          <w:sz w:val="22"/>
          <w:szCs w:val="22"/>
        </w:rPr>
        <w:t xml:space="preserve">.  I gathered much of the information in this newsletter from the physicians version of this book. The book can be purchased on-line  through Siren Publications. Their web site is </w:t>
      </w:r>
      <w:r w:rsidRPr="00B61E76">
        <w:rPr>
          <w:rFonts w:eastAsiaTheme="minorEastAsia"/>
          <w:color w:val="0000FF"/>
          <w:sz w:val="22"/>
          <w:szCs w:val="22"/>
          <w:u w:val="single"/>
        </w:rPr>
        <w:t>http://colossusbooks.com/colossus.htm.</w:t>
      </w:r>
      <w:r w:rsidRPr="00B61E76">
        <w:rPr>
          <w:rFonts w:eastAsiaTheme="minorEastAsia"/>
          <w:color w:val="000000"/>
          <w:sz w:val="22"/>
          <w:szCs w:val="22"/>
        </w:rPr>
        <w:t xml:space="preserve"> The on-line cost is $295 and includes a “the discovery CD” </w:t>
      </w:r>
    </w:p>
    <w:p w:rsidR="000D2081" w:rsidRPr="001A1D5D" w:rsidRDefault="000D2081" w:rsidP="00B61E76">
      <w:pPr>
        <w:tabs>
          <w:tab w:val="left" w:pos="-720"/>
        </w:tabs>
        <w:spacing w:after="240"/>
        <w:ind w:left="-720" w:right="90" w:firstLine="720"/>
        <w:jc w:val="center"/>
        <w:rPr>
          <w:szCs w:val="24"/>
        </w:rPr>
      </w:pPr>
    </w:p>
    <w:sectPr w:rsidR="000D2081" w:rsidRPr="001A1D5D" w:rsidSect="00B61E76">
      <w:headerReference w:type="default" r:id="rId10"/>
      <w:footerReference w:type="default" r:id="rId11"/>
      <w:pgSz w:w="12240" w:h="15840"/>
      <w:pgMar w:top="1440" w:right="63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3F9" w:rsidRDefault="006E13F9" w:rsidP="000D2081">
      <w:r>
        <w:separator/>
      </w:r>
    </w:p>
  </w:endnote>
  <w:endnote w:type="continuationSeparator" w:id="0">
    <w:p w:rsidR="006E13F9" w:rsidRDefault="006E13F9" w:rsidP="000D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3B" w:rsidRDefault="00AC28FF" w:rsidP="00312649">
    <w:pPr>
      <w:pStyle w:val="Footer"/>
      <w:tabs>
        <w:tab w:val="clear" w:pos="9360"/>
        <w:tab w:val="right" w:pos="10080"/>
      </w:tabs>
      <w:ind w:left="-720" w:right="-720"/>
      <w:jc w:val="center"/>
      <w:rPr>
        <w:sz w:val="36"/>
        <w:szCs w:val="36"/>
      </w:rPr>
    </w:pPr>
    <w:r>
      <w:rPr>
        <w:noProof/>
        <w:sz w:val="36"/>
        <w:szCs w:val="36"/>
      </w:rPr>
      <mc:AlternateContent>
        <mc:Choice Requires="wps">
          <w:drawing>
            <wp:anchor distT="0" distB="0" distL="114300" distR="114300" simplePos="0" relativeHeight="251663360" behindDoc="0" locked="0" layoutInCell="1" allowOverlap="1" wp14:anchorId="76DAF869" wp14:editId="4978CBE1">
              <wp:simplePos x="0" y="0"/>
              <wp:positionH relativeFrom="column">
                <wp:posOffset>-190501</wp:posOffset>
              </wp:positionH>
              <wp:positionV relativeFrom="paragraph">
                <wp:posOffset>188595</wp:posOffset>
              </wp:positionV>
              <wp:extent cx="6391275" cy="0"/>
              <wp:effectExtent l="57150" t="38100" r="47625" b="95250"/>
              <wp:wrapNone/>
              <wp:docPr id="7" name="Straight Connector 7"/>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4.85pt" to="488.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" strokecolor="black [3200]" strokeweight="3pt">
              <v:shadow on="t" color="black" opacity="22937f" origin=",.5" offset="0,.63889mm"/>
            </v:line>
          </w:pict>
        </mc:Fallback>
      </mc:AlternateContent>
    </w:r>
  </w:p>
  <w:p w:rsidR="00312649" w:rsidRPr="00AC28FF" w:rsidRDefault="00312649" w:rsidP="00312649">
    <w:pPr>
      <w:pStyle w:val="Footer"/>
      <w:tabs>
        <w:tab w:val="clear" w:pos="9360"/>
        <w:tab w:val="right" w:pos="10080"/>
      </w:tabs>
      <w:ind w:left="-720" w:right="-720"/>
      <w:jc w:val="center"/>
      <w:rPr>
        <w:color w:val="595959" w:themeColor="text1" w:themeTint="A6"/>
        <w:sz w:val="36"/>
        <w:szCs w:val="36"/>
      </w:rPr>
    </w:pPr>
    <w:r w:rsidRPr="00AC28FF">
      <w:rPr>
        <w:color w:val="595959" w:themeColor="text1" w:themeTint="A6"/>
        <w:sz w:val="36"/>
        <w:szCs w:val="36"/>
      </w:rPr>
      <w:t>Hartford ● New Britain ● East Hartford</w:t>
    </w:r>
  </w:p>
  <w:p w:rsidR="000D2081" w:rsidRPr="00AC28FF" w:rsidRDefault="00566AF6" w:rsidP="00566AF6">
    <w:pPr>
      <w:pStyle w:val="Footer"/>
      <w:tabs>
        <w:tab w:val="clear" w:pos="9360"/>
        <w:tab w:val="right" w:pos="10080"/>
      </w:tabs>
      <w:ind w:left="-720" w:right="-720"/>
      <w:rPr>
        <w:color w:val="595959" w:themeColor="text1" w:themeTint="A6"/>
      </w:rPr>
    </w:pPr>
    <w:r w:rsidRPr="00AC28FF">
      <w:rPr>
        <w:color w:val="595959" w:themeColor="text1" w:themeTint="A6"/>
      </w:rPr>
      <w:t>Personal Injury ● Workers Compensation ● Expert Opinions ● Biomechanical Analysis ● Second Opinions</w:t>
    </w:r>
  </w:p>
  <w:p w:rsidR="00AC28FF" w:rsidRPr="00AC28FF" w:rsidRDefault="007A722E" w:rsidP="007A722E">
    <w:pPr>
      <w:pStyle w:val="Footer"/>
      <w:tabs>
        <w:tab w:val="clear" w:pos="9360"/>
        <w:tab w:val="right" w:pos="10080"/>
      </w:tabs>
      <w:ind w:left="-720" w:right="-720"/>
      <w:rPr>
        <w:color w:val="595959" w:themeColor="text1" w:themeTint="A6"/>
        <w:sz w:val="36"/>
        <w:szCs w:val="36"/>
      </w:rPr>
    </w:pPr>
    <w:r>
      <w:rPr>
        <w:color w:val="595959" w:themeColor="text1" w:themeTint="A6"/>
        <w:sz w:val="36"/>
        <w:szCs w:val="36"/>
      </w:rPr>
      <w:tab/>
    </w:r>
    <w:r w:rsidR="00AC28FF" w:rsidRPr="00AC28FF">
      <w:rPr>
        <w:color w:val="595959" w:themeColor="text1" w:themeTint="A6"/>
        <w:sz w:val="36"/>
        <w:szCs w:val="36"/>
      </w:rPr>
      <w:t>800-232-6824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3F9" w:rsidRDefault="006E13F9" w:rsidP="000D2081">
      <w:r>
        <w:separator/>
      </w:r>
    </w:p>
  </w:footnote>
  <w:footnote w:type="continuationSeparator" w:id="0">
    <w:p w:rsidR="006E13F9" w:rsidRDefault="006E13F9" w:rsidP="000D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81" w:rsidRDefault="000D2081" w:rsidP="000D2081">
    <w:pPr>
      <w:ind w:left="-810" w:right="-990"/>
      <w:jc w:val="center"/>
      <w:rPr>
        <w:b/>
        <w:color w:val="FF0000"/>
        <w:sz w:val="18"/>
        <w:szCs w:val="18"/>
      </w:rPr>
    </w:pPr>
    <w:r>
      <w:rPr>
        <w:noProof/>
      </w:rPr>
      <w:drawing>
        <wp:anchor distT="0" distB="0" distL="114300" distR="114300" simplePos="0" relativeHeight="251658240" behindDoc="1" locked="0" layoutInCell="1" allowOverlap="1" wp14:anchorId="3015BB64" wp14:editId="4CC2AF10">
          <wp:simplePos x="0" y="0"/>
          <wp:positionH relativeFrom="column">
            <wp:posOffset>1063625</wp:posOffset>
          </wp:positionH>
          <wp:positionV relativeFrom="paragraph">
            <wp:posOffset>-290195</wp:posOffset>
          </wp:positionV>
          <wp:extent cx="4093845" cy="1367155"/>
          <wp:effectExtent l="0" t="0" r="0" b="4445"/>
          <wp:wrapTight wrapText="bothSides">
            <wp:wrapPolygon edited="0">
              <wp:start x="2211" y="0"/>
              <wp:lineTo x="1307" y="602"/>
              <wp:lineTo x="0" y="3612"/>
              <wp:lineTo x="0" y="7524"/>
              <wp:lineTo x="603" y="10233"/>
              <wp:lineTo x="804" y="15049"/>
              <wp:lineTo x="0" y="18660"/>
              <wp:lineTo x="0" y="19563"/>
              <wp:lineTo x="12866" y="19864"/>
              <wp:lineTo x="12664" y="21369"/>
              <wp:lineTo x="13670" y="21369"/>
              <wp:lineTo x="13469" y="19864"/>
              <wp:lineTo x="13971" y="19864"/>
              <wp:lineTo x="14273" y="17156"/>
              <wp:lineTo x="14072" y="15049"/>
              <wp:lineTo x="17891" y="15049"/>
              <wp:lineTo x="21107" y="12942"/>
              <wp:lineTo x="21107" y="7825"/>
              <wp:lineTo x="19198" y="6621"/>
              <wp:lineTo x="13167" y="5418"/>
              <wp:lineTo x="13469" y="2709"/>
              <wp:lineTo x="8946" y="602"/>
              <wp:lineTo x="2613" y="0"/>
              <wp:lineTo x="2211" y="0"/>
            </wp:wrapPolygon>
          </wp:wrapTight>
          <wp:docPr id="3" name="Picture 3" descr="D:\Users\sws\AppData\Local\Microsoft\Windows\Temporary Internet Files\Content.Word\Shaw Logo - Red Bars -Grey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ws\AppData\Local\Microsoft\Windows\Temporary Internet Files\Content.Word\Shaw Logo - Red Bars -Grey Lette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081" w:rsidRDefault="000D2081" w:rsidP="000D2081">
    <w:pPr>
      <w:ind w:left="-810" w:right="-990"/>
      <w:jc w:val="center"/>
      <w:rPr>
        <w:b/>
        <w:color w:val="FF0000"/>
        <w:sz w:val="18"/>
        <w:szCs w:val="18"/>
      </w:rPr>
    </w:pPr>
  </w:p>
  <w:p w:rsidR="000D2081" w:rsidRDefault="000D2081" w:rsidP="000D2081">
    <w:pPr>
      <w:ind w:left="-810" w:right="-990"/>
      <w:jc w:val="center"/>
      <w:rPr>
        <w:b/>
        <w:color w:val="FF0000"/>
        <w:sz w:val="18"/>
        <w:szCs w:val="18"/>
      </w:rPr>
    </w:pPr>
  </w:p>
  <w:p w:rsidR="000D2081" w:rsidRDefault="000D2081" w:rsidP="000D2081">
    <w:pPr>
      <w:ind w:left="-810" w:right="-990"/>
      <w:jc w:val="center"/>
      <w:rPr>
        <w:b/>
        <w:color w:val="FF0000"/>
        <w:sz w:val="18"/>
        <w:szCs w:val="18"/>
      </w:rPr>
    </w:pPr>
  </w:p>
  <w:p w:rsidR="000D2081" w:rsidRDefault="00AF7111" w:rsidP="00AF7111">
    <w:pPr>
      <w:tabs>
        <w:tab w:val="left" w:pos="1170"/>
      </w:tabs>
      <w:ind w:left="-810" w:right="-990"/>
      <w:rPr>
        <w:b/>
        <w:color w:val="FF0000"/>
        <w:sz w:val="18"/>
        <w:szCs w:val="18"/>
      </w:rPr>
    </w:pPr>
    <w:r>
      <w:rPr>
        <w:b/>
        <w:color w:val="FF0000"/>
        <w:sz w:val="18"/>
        <w:szCs w:val="18"/>
      </w:rPr>
      <w:tab/>
    </w:r>
  </w:p>
  <w:p w:rsidR="00AF7111" w:rsidRDefault="00AF7111" w:rsidP="00AF7111">
    <w:pPr>
      <w:tabs>
        <w:tab w:val="left" w:pos="1170"/>
      </w:tabs>
      <w:ind w:left="-810" w:right="-990"/>
      <w:rPr>
        <w:b/>
        <w:color w:val="FF0000"/>
        <w:sz w:val="18"/>
        <w:szCs w:val="18"/>
      </w:rPr>
    </w:pPr>
  </w:p>
  <w:p w:rsidR="000D2081" w:rsidRDefault="000D2081" w:rsidP="000D2081">
    <w:pPr>
      <w:ind w:left="-810" w:right="-990"/>
      <w:jc w:val="center"/>
      <w:rPr>
        <w:b/>
        <w:color w:val="FF0000"/>
        <w:sz w:val="18"/>
        <w:szCs w:val="18"/>
      </w:rPr>
    </w:pPr>
  </w:p>
  <w:p w:rsidR="000D2081" w:rsidRDefault="00AF7111" w:rsidP="00AF7111">
    <w:pPr>
      <w:tabs>
        <w:tab w:val="left" w:pos="375"/>
        <w:tab w:val="center" w:pos="4770"/>
      </w:tabs>
      <w:ind w:left="-810" w:right="-990"/>
      <w:rPr>
        <w:b/>
        <w:color w:val="FF0000"/>
        <w:sz w:val="18"/>
        <w:szCs w:val="18"/>
      </w:rPr>
    </w:pPr>
    <w:r>
      <w:rPr>
        <w:b/>
        <w:noProof/>
        <w:color w:val="FF0000"/>
        <w:sz w:val="18"/>
        <w:szCs w:val="18"/>
      </w:rPr>
      <mc:AlternateContent>
        <mc:Choice Requires="wps">
          <w:drawing>
            <wp:anchor distT="0" distB="0" distL="114300" distR="114300" simplePos="0" relativeHeight="251660288" behindDoc="1" locked="0" layoutInCell="1" allowOverlap="1" wp14:anchorId="63C2DA71" wp14:editId="454314E4">
              <wp:simplePos x="0" y="0"/>
              <wp:positionH relativeFrom="column">
                <wp:posOffset>-190500</wp:posOffset>
              </wp:positionH>
              <wp:positionV relativeFrom="paragraph">
                <wp:posOffset>59055</wp:posOffset>
              </wp:positionV>
              <wp:extent cx="6438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5pt" to="4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" strokeweight="3pt"/>
          </w:pict>
        </mc:Fallback>
      </mc:AlternateContent>
    </w:r>
    <w:r>
      <w:rPr>
        <w:b/>
        <w:color w:val="FF0000"/>
        <w:sz w:val="18"/>
        <w:szCs w:val="18"/>
      </w:rPr>
      <w:tab/>
    </w:r>
    <w:r>
      <w:rPr>
        <w:b/>
        <w:color w:val="FF0000"/>
        <w:sz w:val="18"/>
        <w:szCs w:val="18"/>
      </w:rPr>
      <w:tab/>
    </w:r>
  </w:p>
  <w:p w:rsidR="000D2081" w:rsidRPr="003A3862" w:rsidRDefault="000D2081" w:rsidP="000D2081">
    <w:pPr>
      <w:ind w:left="-810" w:right="-990"/>
      <w:jc w:val="center"/>
      <w:rPr>
        <w:i/>
        <w:color w:val="FF0000"/>
        <w:sz w:val="80"/>
        <w:szCs w:val="80"/>
      </w:rPr>
    </w:pPr>
    <w:r w:rsidRPr="00C534FD">
      <w:rPr>
        <w:b/>
        <w:color w:val="FF0000"/>
        <w:sz w:val="18"/>
        <w:szCs w:val="18"/>
      </w:rPr>
      <w:t>A MEDICAL-LEGAL NEWSLETTER FOR PERSONAL INJURY ATT</w:t>
    </w:r>
    <w:r>
      <w:rPr>
        <w:b/>
        <w:color w:val="FF0000"/>
        <w:sz w:val="18"/>
        <w:szCs w:val="18"/>
      </w:rPr>
      <w:t>O</w:t>
    </w:r>
    <w:r w:rsidRPr="00C534FD">
      <w:rPr>
        <w:b/>
        <w:color w:val="FF0000"/>
        <w:sz w:val="18"/>
        <w:szCs w:val="18"/>
      </w:rPr>
      <w:t>RNEYS BY DR. STEVEN W.SHAW</w:t>
    </w:r>
  </w:p>
  <w:p w:rsidR="000D2081" w:rsidRDefault="009726EE" w:rsidP="009726EE">
    <w:pPr>
      <w:ind w:left="-810" w:right="-990"/>
      <w:jc w:val="center"/>
    </w:pPr>
    <w:r>
      <w:rPr>
        <w:b/>
        <w:noProof/>
        <w:color w:val="FF0000"/>
        <w:sz w:val="18"/>
        <w:szCs w:val="18"/>
      </w:rPr>
      <mc:AlternateContent>
        <mc:Choice Requires="wps">
          <w:drawing>
            <wp:anchor distT="0" distB="0" distL="114300" distR="114300" simplePos="0" relativeHeight="251662336" behindDoc="1" locked="0" layoutInCell="1" allowOverlap="1" wp14:anchorId="398541A0" wp14:editId="483365F3">
              <wp:simplePos x="0" y="0"/>
              <wp:positionH relativeFrom="column">
                <wp:posOffset>-190500</wp:posOffset>
              </wp:positionH>
              <wp:positionV relativeFrom="paragraph">
                <wp:posOffset>24765</wp:posOffset>
              </wp:positionV>
              <wp:extent cx="64389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PZHAIAADc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E0E52C"/>
    <w:lvl w:ilvl="0">
      <w:numFmt w:val="bullet"/>
      <w:lvlText w:val="*"/>
      <w:lvlJc w:val="left"/>
    </w:lvl>
  </w:abstractNum>
  <w:abstractNum w:abstractNumId="1">
    <w:nsid w:val="2C740F45"/>
    <w:multiLevelType w:val="hybridMultilevel"/>
    <w:tmpl w:val="E98A144C"/>
    <w:lvl w:ilvl="0" w:tplc="AF3C0FC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0E6F94"/>
    <w:multiLevelType w:val="hybridMultilevel"/>
    <w:tmpl w:val="BF20CE4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288"/>
        <w:lvlJc w:val="left"/>
        <w:pPr>
          <w:ind w:left="288" w:hanging="288"/>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6C"/>
    <w:rsid w:val="00076415"/>
    <w:rsid w:val="000D2081"/>
    <w:rsid w:val="000D6617"/>
    <w:rsid w:val="00115B80"/>
    <w:rsid w:val="001708BE"/>
    <w:rsid w:val="001A1D5D"/>
    <w:rsid w:val="00260C5C"/>
    <w:rsid w:val="00291A05"/>
    <w:rsid w:val="00312649"/>
    <w:rsid w:val="003573CF"/>
    <w:rsid w:val="0039255D"/>
    <w:rsid w:val="003C134B"/>
    <w:rsid w:val="004505DC"/>
    <w:rsid w:val="0047636C"/>
    <w:rsid w:val="00566AF6"/>
    <w:rsid w:val="005D5F01"/>
    <w:rsid w:val="005E1B61"/>
    <w:rsid w:val="006E13F9"/>
    <w:rsid w:val="006E2FF6"/>
    <w:rsid w:val="00701EFF"/>
    <w:rsid w:val="00735C3B"/>
    <w:rsid w:val="00780E8F"/>
    <w:rsid w:val="0079475C"/>
    <w:rsid w:val="007A722E"/>
    <w:rsid w:val="00830051"/>
    <w:rsid w:val="00870564"/>
    <w:rsid w:val="0088566D"/>
    <w:rsid w:val="009726EE"/>
    <w:rsid w:val="009837D5"/>
    <w:rsid w:val="00A25DD7"/>
    <w:rsid w:val="00AB73FE"/>
    <w:rsid w:val="00AC28FF"/>
    <w:rsid w:val="00AF33D7"/>
    <w:rsid w:val="00AF7111"/>
    <w:rsid w:val="00B61E76"/>
    <w:rsid w:val="00C8540F"/>
    <w:rsid w:val="00D269D7"/>
    <w:rsid w:val="00E27299"/>
    <w:rsid w:val="00E83493"/>
    <w:rsid w:val="00EA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81"/>
    <w:pPr>
      <w:tabs>
        <w:tab w:val="center" w:pos="4680"/>
        <w:tab w:val="right" w:pos="9360"/>
      </w:tabs>
    </w:pPr>
  </w:style>
  <w:style w:type="character" w:customStyle="1" w:styleId="HeaderChar">
    <w:name w:val="Header Char"/>
    <w:basedOn w:val="DefaultParagraphFont"/>
    <w:link w:val="Header"/>
    <w:uiPriority w:val="99"/>
    <w:rsid w:val="000D2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081"/>
    <w:pPr>
      <w:tabs>
        <w:tab w:val="center" w:pos="4680"/>
        <w:tab w:val="right" w:pos="9360"/>
      </w:tabs>
    </w:pPr>
  </w:style>
  <w:style w:type="character" w:customStyle="1" w:styleId="FooterChar">
    <w:name w:val="Footer Char"/>
    <w:basedOn w:val="DefaultParagraphFont"/>
    <w:link w:val="Footer"/>
    <w:uiPriority w:val="99"/>
    <w:rsid w:val="000D20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2081"/>
    <w:rPr>
      <w:rFonts w:ascii="Tahoma" w:hAnsi="Tahoma" w:cs="Tahoma"/>
      <w:sz w:val="16"/>
      <w:szCs w:val="16"/>
    </w:rPr>
  </w:style>
  <w:style w:type="character" w:customStyle="1" w:styleId="BalloonTextChar">
    <w:name w:val="Balloon Text Char"/>
    <w:basedOn w:val="DefaultParagraphFont"/>
    <w:link w:val="BalloonText"/>
    <w:uiPriority w:val="99"/>
    <w:semiHidden/>
    <w:rsid w:val="000D2081"/>
    <w:rPr>
      <w:rFonts w:ascii="Tahoma" w:eastAsia="Times New Roman" w:hAnsi="Tahoma" w:cs="Tahoma"/>
      <w:sz w:val="16"/>
      <w:szCs w:val="16"/>
    </w:rPr>
  </w:style>
  <w:style w:type="paragraph" w:styleId="ListParagraph">
    <w:name w:val="List Paragraph"/>
    <w:basedOn w:val="Normal"/>
    <w:uiPriority w:val="34"/>
    <w:qFormat/>
    <w:rsid w:val="005E1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081"/>
    <w:pPr>
      <w:tabs>
        <w:tab w:val="center" w:pos="4680"/>
        <w:tab w:val="right" w:pos="9360"/>
      </w:tabs>
    </w:pPr>
  </w:style>
  <w:style w:type="character" w:customStyle="1" w:styleId="HeaderChar">
    <w:name w:val="Header Char"/>
    <w:basedOn w:val="DefaultParagraphFont"/>
    <w:link w:val="Header"/>
    <w:uiPriority w:val="99"/>
    <w:rsid w:val="000D2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081"/>
    <w:pPr>
      <w:tabs>
        <w:tab w:val="center" w:pos="4680"/>
        <w:tab w:val="right" w:pos="9360"/>
      </w:tabs>
    </w:pPr>
  </w:style>
  <w:style w:type="character" w:customStyle="1" w:styleId="FooterChar">
    <w:name w:val="Footer Char"/>
    <w:basedOn w:val="DefaultParagraphFont"/>
    <w:link w:val="Footer"/>
    <w:uiPriority w:val="99"/>
    <w:rsid w:val="000D20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2081"/>
    <w:rPr>
      <w:rFonts w:ascii="Tahoma" w:hAnsi="Tahoma" w:cs="Tahoma"/>
      <w:sz w:val="16"/>
      <w:szCs w:val="16"/>
    </w:rPr>
  </w:style>
  <w:style w:type="character" w:customStyle="1" w:styleId="BalloonTextChar">
    <w:name w:val="Balloon Text Char"/>
    <w:basedOn w:val="DefaultParagraphFont"/>
    <w:link w:val="BalloonText"/>
    <w:uiPriority w:val="99"/>
    <w:semiHidden/>
    <w:rsid w:val="000D2081"/>
    <w:rPr>
      <w:rFonts w:ascii="Tahoma" w:eastAsia="Times New Roman" w:hAnsi="Tahoma" w:cs="Tahoma"/>
      <w:sz w:val="16"/>
      <w:szCs w:val="16"/>
    </w:rPr>
  </w:style>
  <w:style w:type="paragraph" w:styleId="ListParagraph">
    <w:name w:val="List Paragraph"/>
    <w:basedOn w:val="Normal"/>
    <w:uiPriority w:val="34"/>
    <w:qFormat/>
    <w:rsid w:val="005E1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850B-B6F8-4112-9CC0-F0732E77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 Shaw</dc:creator>
  <cp:lastModifiedBy>Steven w. Shaw</cp:lastModifiedBy>
  <cp:revision>5</cp:revision>
  <cp:lastPrinted>2012-11-19T02:38:00Z</cp:lastPrinted>
  <dcterms:created xsi:type="dcterms:W3CDTF">2012-10-29T21:05:00Z</dcterms:created>
  <dcterms:modified xsi:type="dcterms:W3CDTF">2012-11-19T02:38:00Z</dcterms:modified>
</cp:coreProperties>
</file>