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8E" w:rsidRDefault="00435535" w:rsidP="00B5088E">
      <w:pPr>
        <w:spacing w:after="200" w:line="276" w:lineRule="auto"/>
        <w:ind w:left="-360" w:right="-270"/>
        <w:jc w:val="center"/>
        <w:rPr>
          <w:rFonts w:eastAsiaTheme="minorHAnsi"/>
          <w:b/>
          <w:color w:val="1F497D" w:themeColor="text2"/>
          <w:sz w:val="52"/>
          <w:szCs w:val="52"/>
        </w:rPr>
      </w:pPr>
      <w:bookmarkStart w:id="0" w:name="_GoBack"/>
      <w:bookmarkEnd w:id="0"/>
      <w:r>
        <w:rPr>
          <w:rFonts w:eastAsiaTheme="minorHAnsi"/>
          <w:noProof/>
          <w:color w:val="000000" w:themeColor="text1"/>
          <w:szCs w:val="24"/>
        </w:rPr>
        <w:drawing>
          <wp:anchor distT="0" distB="0" distL="114300" distR="114300" simplePos="0" relativeHeight="251658240" behindDoc="0" locked="0" layoutInCell="1" allowOverlap="1" wp14:anchorId="09C1E516" wp14:editId="6E7E4153">
            <wp:simplePos x="0" y="0"/>
            <wp:positionH relativeFrom="column">
              <wp:posOffset>1145540</wp:posOffset>
            </wp:positionH>
            <wp:positionV relativeFrom="paragraph">
              <wp:posOffset>563880</wp:posOffset>
            </wp:positionV>
            <wp:extent cx="3321050" cy="18707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 II.JPG"/>
                    <pic:cNvPicPr/>
                  </pic:nvPicPr>
                  <pic:blipFill>
                    <a:blip r:embed="rId9">
                      <a:extLst>
                        <a:ext uri="{28A0092B-C50C-407E-A947-70E740481C1C}">
                          <a14:useLocalDpi xmlns:a14="http://schemas.microsoft.com/office/drawing/2010/main" val="0"/>
                        </a:ext>
                      </a:extLst>
                    </a:blip>
                    <a:stretch>
                      <a:fillRect/>
                    </a:stretch>
                  </pic:blipFill>
                  <pic:spPr>
                    <a:xfrm>
                      <a:off x="0" y="0"/>
                      <a:ext cx="3321050" cy="1870710"/>
                    </a:xfrm>
                    <a:prstGeom prst="rect">
                      <a:avLst/>
                    </a:prstGeom>
                  </pic:spPr>
                </pic:pic>
              </a:graphicData>
            </a:graphic>
            <wp14:sizeRelH relativeFrom="page">
              <wp14:pctWidth>0</wp14:pctWidth>
            </wp14:sizeRelH>
            <wp14:sizeRelV relativeFrom="page">
              <wp14:pctHeight>0</wp14:pctHeight>
            </wp14:sizeRelV>
          </wp:anchor>
        </w:drawing>
      </w:r>
      <w:r w:rsidR="004C7693" w:rsidRPr="004C7693">
        <w:rPr>
          <w:rFonts w:eastAsiaTheme="minorHAnsi"/>
          <w:b/>
          <w:color w:val="1F497D" w:themeColor="text2"/>
          <w:sz w:val="52"/>
          <w:szCs w:val="52"/>
        </w:rPr>
        <w:t>Mild Traumatic Brain Injury</w:t>
      </w:r>
      <w:r w:rsidR="00F61CF2">
        <w:rPr>
          <w:rFonts w:eastAsiaTheme="minorHAnsi"/>
          <w:b/>
          <w:color w:val="1F497D" w:themeColor="text2"/>
          <w:sz w:val="52"/>
          <w:szCs w:val="52"/>
        </w:rPr>
        <w:t>: Part II</w:t>
      </w:r>
    </w:p>
    <w:p w:rsidR="00435535" w:rsidRDefault="00435535" w:rsidP="00435535">
      <w:pPr>
        <w:spacing w:after="200" w:line="276" w:lineRule="auto"/>
        <w:ind w:right="-270"/>
        <w:rPr>
          <w:rFonts w:eastAsiaTheme="minorHAnsi"/>
          <w:color w:val="000000" w:themeColor="text1"/>
          <w:szCs w:val="24"/>
        </w:rPr>
      </w:pPr>
    </w:p>
    <w:p w:rsidR="00B57F59" w:rsidRDefault="00F61CF2" w:rsidP="00435535">
      <w:pPr>
        <w:spacing w:after="200" w:line="276" w:lineRule="auto"/>
        <w:ind w:right="-270"/>
        <w:rPr>
          <w:rFonts w:ascii="Arial" w:eastAsiaTheme="minorHAnsi" w:hAnsi="Arial" w:cs="Arial"/>
          <w:color w:val="000000" w:themeColor="text1"/>
          <w:szCs w:val="24"/>
        </w:rPr>
      </w:pPr>
      <w:r w:rsidRPr="00385FD7">
        <w:rPr>
          <w:rFonts w:eastAsiaTheme="minorHAnsi"/>
          <w:color w:val="000000" w:themeColor="text1"/>
          <w:szCs w:val="24"/>
        </w:rPr>
        <w:t xml:space="preserve">The last newsletter on </w:t>
      </w:r>
      <w:r w:rsidR="00DA33CE">
        <w:rPr>
          <w:rFonts w:eastAsiaTheme="minorHAnsi"/>
          <w:color w:val="000000" w:themeColor="text1"/>
          <w:szCs w:val="24"/>
        </w:rPr>
        <w:t>m</w:t>
      </w:r>
      <w:r w:rsidR="00B5088E" w:rsidRPr="00385FD7">
        <w:rPr>
          <w:rFonts w:eastAsiaTheme="minorHAnsi"/>
          <w:color w:val="000000" w:themeColor="text1"/>
          <w:szCs w:val="24"/>
        </w:rPr>
        <w:t xml:space="preserve">ild traumatic brain injury (mTBI) </w:t>
      </w:r>
      <w:r w:rsidRPr="00385FD7">
        <w:rPr>
          <w:rFonts w:eastAsiaTheme="minorHAnsi"/>
          <w:color w:val="000000" w:themeColor="text1"/>
          <w:szCs w:val="24"/>
        </w:rPr>
        <w:t>was well recei</w:t>
      </w:r>
      <w:r w:rsidR="00385FD7">
        <w:rPr>
          <w:rFonts w:eastAsiaTheme="minorHAnsi"/>
          <w:color w:val="000000" w:themeColor="text1"/>
          <w:szCs w:val="24"/>
        </w:rPr>
        <w:t>ved. Since then, I’ve received</w:t>
      </w:r>
      <w:r w:rsidRPr="00385FD7">
        <w:rPr>
          <w:rFonts w:eastAsiaTheme="minorHAnsi"/>
          <w:color w:val="000000" w:themeColor="text1"/>
          <w:szCs w:val="24"/>
        </w:rPr>
        <w:t xml:space="preserve"> an abundance of calls requesting more information about mTBI diagnosis and management. Apparently, there has been increasing awareness of the seriousness of </w:t>
      </w:r>
      <w:proofErr w:type="spellStart"/>
      <w:r w:rsidRPr="00385FD7">
        <w:rPr>
          <w:rFonts w:eastAsiaTheme="minorHAnsi"/>
          <w:color w:val="000000" w:themeColor="text1"/>
          <w:szCs w:val="24"/>
        </w:rPr>
        <w:t>mTBIs</w:t>
      </w:r>
      <w:proofErr w:type="spellEnd"/>
      <w:r w:rsidRPr="00385FD7">
        <w:rPr>
          <w:rFonts w:eastAsiaTheme="minorHAnsi"/>
          <w:color w:val="000000" w:themeColor="text1"/>
          <w:szCs w:val="24"/>
        </w:rPr>
        <w:t xml:space="preserve"> in the legal community</w:t>
      </w:r>
      <w:r w:rsidR="00DA33CE">
        <w:rPr>
          <w:rFonts w:eastAsiaTheme="minorHAnsi"/>
          <w:color w:val="000000" w:themeColor="text1"/>
          <w:szCs w:val="24"/>
        </w:rPr>
        <w:t xml:space="preserve"> </w:t>
      </w:r>
      <w:r w:rsidR="00F8197E">
        <w:rPr>
          <w:rFonts w:eastAsiaTheme="minorHAnsi"/>
          <w:color w:val="000000" w:themeColor="text1"/>
          <w:szCs w:val="24"/>
        </w:rPr>
        <w:t>with m</w:t>
      </w:r>
      <w:r w:rsidRPr="00385FD7">
        <w:rPr>
          <w:rFonts w:eastAsiaTheme="minorHAnsi"/>
          <w:color w:val="000000" w:themeColor="text1"/>
          <w:szCs w:val="24"/>
        </w:rPr>
        <w:t xml:space="preserve">TBI legal programs </w:t>
      </w:r>
      <w:r w:rsidR="00385FD7">
        <w:rPr>
          <w:rFonts w:eastAsiaTheme="minorHAnsi"/>
          <w:color w:val="000000" w:themeColor="text1"/>
          <w:szCs w:val="24"/>
        </w:rPr>
        <w:t>popping up</w:t>
      </w:r>
      <w:r w:rsidRPr="00385FD7">
        <w:rPr>
          <w:rFonts w:eastAsiaTheme="minorHAnsi"/>
          <w:color w:val="000000" w:themeColor="text1"/>
          <w:szCs w:val="24"/>
        </w:rPr>
        <w:t xml:space="preserve"> all around the country. Therefore, in this edition of the newsletter I will review the highlights from the </w:t>
      </w:r>
      <w:r w:rsidRPr="00385FD7">
        <w:rPr>
          <w:rFonts w:eastAsiaTheme="minorHAnsi"/>
          <w:b/>
          <w:color w:val="1F497D" w:themeColor="text2"/>
          <w:szCs w:val="24"/>
          <w:u w:val="single"/>
        </w:rPr>
        <w:t>Guidelines for Mild Traumatic Brain Injury and Persistent Symptoms</w:t>
      </w:r>
      <w:r w:rsidRPr="00385FD7">
        <w:rPr>
          <w:rFonts w:eastAsiaTheme="minorHAnsi"/>
          <w:color w:val="000000" w:themeColor="text1"/>
          <w:szCs w:val="24"/>
        </w:rPr>
        <w:t xml:space="preserve"> published by the Ontario Neurotrauma Foundation. This guideline was written to assist healthcare professionals in the implementation of evidence based, best practices for mTBI patients and </w:t>
      </w:r>
      <w:r w:rsidR="00385FD7">
        <w:rPr>
          <w:rFonts w:eastAsiaTheme="minorHAnsi"/>
          <w:color w:val="000000" w:themeColor="text1"/>
          <w:szCs w:val="24"/>
        </w:rPr>
        <w:t xml:space="preserve">specifically for patients </w:t>
      </w:r>
      <w:r w:rsidRPr="00385FD7">
        <w:rPr>
          <w:rFonts w:eastAsiaTheme="minorHAnsi"/>
          <w:color w:val="000000" w:themeColor="text1"/>
          <w:szCs w:val="24"/>
        </w:rPr>
        <w:t>who experience persistent symptoms. The document is 156 pages in length and quite an interesting read. That said, I suspect that most attorneys will not take the time to read the entire guideline so I have highlighted and bullet pointed what I believe to be information that is valuable from a personal injury atto</w:t>
      </w:r>
      <w:r w:rsidR="00B57F59" w:rsidRPr="00385FD7">
        <w:rPr>
          <w:rFonts w:eastAsiaTheme="minorHAnsi"/>
          <w:color w:val="000000" w:themeColor="text1"/>
          <w:szCs w:val="24"/>
        </w:rPr>
        <w:t>rney’s perspective</w:t>
      </w:r>
      <w:r w:rsidR="00575A4F">
        <w:rPr>
          <w:rFonts w:eastAsiaTheme="minorHAnsi"/>
          <w:color w:val="000000" w:themeColor="text1"/>
          <w:szCs w:val="24"/>
        </w:rPr>
        <w:t xml:space="preserve"> (as well as mine)</w:t>
      </w:r>
      <w:r w:rsidR="00B57F59" w:rsidRPr="00385FD7">
        <w:rPr>
          <w:rFonts w:eastAsiaTheme="minorHAnsi"/>
          <w:color w:val="000000" w:themeColor="text1"/>
          <w:szCs w:val="24"/>
        </w:rPr>
        <w:t>. Here we go</w:t>
      </w:r>
      <w:r w:rsidR="00B57F59">
        <w:rPr>
          <w:rFonts w:ascii="Arial" w:eastAsiaTheme="minorHAnsi" w:hAnsi="Arial" w:cs="Arial"/>
          <w:color w:val="000000" w:themeColor="text1"/>
          <w:szCs w:val="24"/>
        </w:rPr>
        <w:t>:</w:t>
      </w:r>
    </w:p>
    <w:p w:rsidR="0097394E" w:rsidRPr="00385FD7" w:rsidRDefault="00B57F59" w:rsidP="0097394E">
      <w:pPr>
        <w:pStyle w:val="ListParagraph"/>
        <w:numPr>
          <w:ilvl w:val="0"/>
          <w:numId w:val="19"/>
        </w:numPr>
        <w:spacing w:after="200" w:line="276" w:lineRule="auto"/>
        <w:ind w:right="-270"/>
        <w:rPr>
          <w:rFonts w:eastAsiaTheme="minorHAnsi"/>
          <w:color w:val="000000" w:themeColor="text1"/>
          <w:szCs w:val="24"/>
        </w:rPr>
      </w:pPr>
      <w:r w:rsidRPr="00575A4F">
        <w:rPr>
          <w:rFonts w:eastAsiaTheme="minorHAnsi"/>
          <w:b/>
          <w:color w:val="1F497D" w:themeColor="text2"/>
          <w:szCs w:val="24"/>
        </w:rPr>
        <w:t>Persistent symptoms are not an uncommon complication of mTBI; 10 to 15% of individuals who incur mTBI will continue to experience significant symptoms beyond the normal recovery</w:t>
      </w:r>
      <w:r w:rsidR="00575A4F" w:rsidRPr="00575A4F">
        <w:rPr>
          <w:rFonts w:eastAsiaTheme="minorHAnsi"/>
          <w:b/>
          <w:color w:val="1F497D" w:themeColor="text2"/>
          <w:szCs w:val="24"/>
        </w:rPr>
        <w:t xml:space="preserve"> period of three months</w:t>
      </w:r>
      <w:r w:rsidR="00575A4F">
        <w:rPr>
          <w:rFonts w:eastAsiaTheme="minorHAnsi"/>
          <w:szCs w:val="24"/>
        </w:rPr>
        <w:t>.</w:t>
      </w:r>
      <w:r w:rsidR="0097394E" w:rsidRPr="00385FD7">
        <w:rPr>
          <w:rFonts w:eastAsiaTheme="minorHAnsi"/>
          <w:szCs w:val="24"/>
        </w:rPr>
        <w:t xml:space="preserve"> </w:t>
      </w:r>
    </w:p>
    <w:p w:rsidR="00B57F59" w:rsidRPr="00385FD7" w:rsidRDefault="0097394E" w:rsidP="0097394E">
      <w:pPr>
        <w:pStyle w:val="ListParagraph"/>
        <w:numPr>
          <w:ilvl w:val="0"/>
          <w:numId w:val="19"/>
        </w:numPr>
        <w:spacing w:after="200" w:line="276" w:lineRule="auto"/>
        <w:ind w:right="-270"/>
        <w:rPr>
          <w:rFonts w:eastAsiaTheme="minorHAnsi"/>
          <w:color w:val="000000" w:themeColor="text1"/>
          <w:szCs w:val="24"/>
        </w:rPr>
      </w:pPr>
      <w:r w:rsidRPr="00385FD7">
        <w:rPr>
          <w:rFonts w:eastAsiaTheme="minorHAnsi"/>
          <w:szCs w:val="24"/>
        </w:rPr>
        <w:t xml:space="preserve">mTBI can </w:t>
      </w:r>
      <w:r w:rsidR="00B57F59" w:rsidRPr="00385FD7">
        <w:rPr>
          <w:rFonts w:eastAsiaTheme="minorHAnsi"/>
          <w:szCs w:val="24"/>
        </w:rPr>
        <w:t>include post-traumatic headache, sleep disturbance, disorders of balance, cogn</w:t>
      </w:r>
      <w:r w:rsidRPr="00385FD7">
        <w:rPr>
          <w:rFonts w:eastAsiaTheme="minorHAnsi"/>
          <w:szCs w:val="24"/>
        </w:rPr>
        <w:t xml:space="preserve">itive impairments, fatigue, and </w:t>
      </w:r>
      <w:r w:rsidR="00B57F59" w:rsidRPr="00385FD7">
        <w:rPr>
          <w:rFonts w:eastAsiaTheme="minorHAnsi"/>
          <w:szCs w:val="24"/>
        </w:rPr>
        <w:t>mood or affective disorders</w:t>
      </w:r>
      <w:r w:rsidRPr="00385FD7">
        <w:rPr>
          <w:rFonts w:eastAsiaTheme="minorHAnsi"/>
          <w:szCs w:val="24"/>
        </w:rPr>
        <w:t xml:space="preserve">. </w:t>
      </w:r>
    </w:p>
    <w:p w:rsidR="007F6ACE" w:rsidRPr="00385FD7" w:rsidRDefault="00C374C5" w:rsidP="007F6ACE">
      <w:pPr>
        <w:pStyle w:val="ListParagraph"/>
        <w:numPr>
          <w:ilvl w:val="0"/>
          <w:numId w:val="19"/>
        </w:numPr>
        <w:autoSpaceDE w:val="0"/>
        <w:autoSpaceDN w:val="0"/>
        <w:adjustRightInd w:val="0"/>
        <w:rPr>
          <w:rFonts w:eastAsiaTheme="minorHAnsi"/>
          <w:szCs w:val="24"/>
        </w:rPr>
      </w:pPr>
      <w:r w:rsidRPr="00385FD7">
        <w:rPr>
          <w:rFonts w:eastAsiaTheme="minorHAnsi"/>
          <w:szCs w:val="24"/>
        </w:rPr>
        <w:t>mTBI is among the mos</w:t>
      </w:r>
      <w:r w:rsidR="00AD6066">
        <w:rPr>
          <w:rFonts w:eastAsiaTheme="minorHAnsi"/>
          <w:szCs w:val="24"/>
        </w:rPr>
        <w:t>t common neurological condition</w:t>
      </w:r>
      <w:r w:rsidRPr="00385FD7">
        <w:rPr>
          <w:rFonts w:eastAsiaTheme="minorHAnsi"/>
          <w:szCs w:val="24"/>
        </w:rPr>
        <w:t xml:space="preserve"> with an estimated annual incidence of 200/100,000 in the United States</w:t>
      </w:r>
      <w:r w:rsidR="007F6ACE" w:rsidRPr="00385FD7">
        <w:rPr>
          <w:rFonts w:eastAsiaTheme="minorHAnsi"/>
          <w:szCs w:val="24"/>
        </w:rPr>
        <w:t xml:space="preserve">. </w:t>
      </w:r>
    </w:p>
    <w:p w:rsidR="007F6ACE" w:rsidRPr="00385FD7" w:rsidRDefault="007F6ACE" w:rsidP="007F6ACE">
      <w:pPr>
        <w:pStyle w:val="ListParagraph"/>
        <w:numPr>
          <w:ilvl w:val="0"/>
          <w:numId w:val="19"/>
        </w:numPr>
        <w:autoSpaceDE w:val="0"/>
        <w:autoSpaceDN w:val="0"/>
        <w:adjustRightInd w:val="0"/>
        <w:rPr>
          <w:rFonts w:eastAsiaTheme="minorHAnsi"/>
          <w:szCs w:val="24"/>
        </w:rPr>
      </w:pPr>
      <w:r w:rsidRPr="00385FD7">
        <w:rPr>
          <w:rFonts w:eastAsiaTheme="minorHAnsi"/>
          <w:szCs w:val="24"/>
        </w:rPr>
        <w:lastRenderedPageBreak/>
        <w:t>Canadian studies have calculated the incidence of mTBI in Ontario to lie betwe</w:t>
      </w:r>
      <w:r w:rsidR="00F2522A">
        <w:rPr>
          <w:rFonts w:eastAsiaTheme="minorHAnsi"/>
          <w:szCs w:val="24"/>
        </w:rPr>
        <w:t>en 493/100,000 and 653/100, 000.</w:t>
      </w:r>
    </w:p>
    <w:p w:rsidR="007F6ACE" w:rsidRPr="00575A4F" w:rsidRDefault="00C374C5" w:rsidP="007F6ACE">
      <w:pPr>
        <w:pStyle w:val="ListParagraph"/>
        <w:numPr>
          <w:ilvl w:val="0"/>
          <w:numId w:val="19"/>
        </w:numPr>
        <w:autoSpaceDE w:val="0"/>
        <w:autoSpaceDN w:val="0"/>
        <w:adjustRightInd w:val="0"/>
        <w:rPr>
          <w:rFonts w:eastAsiaTheme="minorHAnsi"/>
          <w:b/>
          <w:color w:val="1F497D" w:themeColor="text2"/>
          <w:szCs w:val="24"/>
        </w:rPr>
      </w:pPr>
      <w:r w:rsidRPr="00385FD7">
        <w:rPr>
          <w:rFonts w:eastAsiaTheme="minorHAnsi"/>
          <w:szCs w:val="24"/>
        </w:rPr>
        <w:t xml:space="preserve">The term mild TBI (mTBI) denotes the acute neurophysiological effects of blunt impact or other mechanical energy applied to the head, </w:t>
      </w:r>
      <w:r w:rsidRPr="00575A4F">
        <w:rPr>
          <w:rFonts w:eastAsiaTheme="minorHAnsi"/>
          <w:b/>
          <w:color w:val="1F497D" w:themeColor="text2"/>
          <w:szCs w:val="24"/>
        </w:rPr>
        <w:t>such as from sudden acceleration, deceleration or rotational forces</w:t>
      </w:r>
      <w:r w:rsidR="007F6ACE" w:rsidRPr="00575A4F">
        <w:rPr>
          <w:rFonts w:eastAsiaTheme="minorHAnsi"/>
          <w:b/>
          <w:color w:val="1F497D" w:themeColor="text2"/>
          <w:szCs w:val="24"/>
        </w:rPr>
        <w:t>.</w:t>
      </w:r>
    </w:p>
    <w:p w:rsidR="00D75D91" w:rsidRPr="00385FD7" w:rsidRDefault="007F6ACE" w:rsidP="007F6ACE">
      <w:pPr>
        <w:pStyle w:val="ListParagraph"/>
        <w:numPr>
          <w:ilvl w:val="0"/>
          <w:numId w:val="19"/>
        </w:numPr>
        <w:autoSpaceDE w:val="0"/>
        <w:autoSpaceDN w:val="0"/>
        <w:adjustRightInd w:val="0"/>
        <w:rPr>
          <w:rFonts w:eastAsiaTheme="minorHAnsi"/>
          <w:szCs w:val="24"/>
        </w:rPr>
      </w:pPr>
      <w:r w:rsidRPr="00385FD7">
        <w:rPr>
          <w:rFonts w:eastAsiaTheme="minorHAnsi"/>
          <w:b/>
          <w:bCs/>
          <w:szCs w:val="24"/>
        </w:rPr>
        <w:t xml:space="preserve">Physical Symptoms of mTBI include: </w:t>
      </w:r>
      <w:r w:rsidRPr="00385FD7">
        <w:rPr>
          <w:rFonts w:eastAsiaTheme="minorHAnsi"/>
          <w:szCs w:val="24"/>
        </w:rPr>
        <w:t>Headache</w:t>
      </w:r>
      <w:r w:rsidR="00177D00" w:rsidRPr="00385FD7">
        <w:rPr>
          <w:rFonts w:eastAsiaTheme="minorHAnsi"/>
          <w:szCs w:val="24"/>
        </w:rPr>
        <w:t xml:space="preserve">, Nausea, Vomiting, Blurred or double vision, </w:t>
      </w:r>
      <w:r w:rsidRPr="00385FD7">
        <w:rPr>
          <w:rFonts w:eastAsiaTheme="minorHAnsi"/>
          <w:szCs w:val="24"/>
        </w:rPr>
        <w:t>Seeing stars or lights, Balance problems, Dizziness, Sensitivity to light or noise, Tinnitus</w:t>
      </w:r>
    </w:p>
    <w:p w:rsidR="00D75D91" w:rsidRPr="00385FD7" w:rsidRDefault="00F2522A" w:rsidP="007F6ACE">
      <w:pPr>
        <w:pStyle w:val="ListParagraph"/>
        <w:numPr>
          <w:ilvl w:val="0"/>
          <w:numId w:val="19"/>
        </w:numPr>
        <w:autoSpaceDE w:val="0"/>
        <w:autoSpaceDN w:val="0"/>
        <w:adjustRightInd w:val="0"/>
        <w:rPr>
          <w:rFonts w:eastAsiaTheme="minorHAnsi"/>
          <w:szCs w:val="24"/>
        </w:rPr>
      </w:pPr>
      <w:r w:rsidRPr="00385FD7">
        <w:rPr>
          <w:rFonts w:eastAsiaTheme="minorHAnsi"/>
          <w:b/>
          <w:bCs/>
          <w:szCs w:val="24"/>
        </w:rPr>
        <w:t>Behavioral</w:t>
      </w:r>
      <w:r w:rsidR="007F6ACE" w:rsidRPr="00385FD7">
        <w:rPr>
          <w:rFonts w:eastAsiaTheme="minorHAnsi"/>
          <w:b/>
          <w:bCs/>
          <w:szCs w:val="24"/>
        </w:rPr>
        <w:t>/Emotional</w:t>
      </w:r>
      <w:r w:rsidR="00177D00" w:rsidRPr="00385FD7">
        <w:rPr>
          <w:rFonts w:eastAsiaTheme="minorHAnsi"/>
          <w:b/>
          <w:bCs/>
          <w:szCs w:val="24"/>
        </w:rPr>
        <w:t xml:space="preserve"> Symptoms of mTBI include: </w:t>
      </w:r>
      <w:r w:rsidR="007F6ACE" w:rsidRPr="00385FD7">
        <w:rPr>
          <w:rFonts w:eastAsiaTheme="minorHAnsi"/>
          <w:szCs w:val="24"/>
        </w:rPr>
        <w:t>Drowsiness</w:t>
      </w:r>
      <w:r w:rsidR="00177D00" w:rsidRPr="00385FD7">
        <w:rPr>
          <w:rFonts w:eastAsiaTheme="minorHAnsi"/>
          <w:szCs w:val="24"/>
        </w:rPr>
        <w:t xml:space="preserve">, </w:t>
      </w:r>
      <w:r w:rsidR="00177D00" w:rsidRPr="00385FD7">
        <w:rPr>
          <w:rFonts w:eastAsiaTheme="minorHAnsi"/>
          <w:b/>
          <w:bCs/>
          <w:szCs w:val="24"/>
        </w:rPr>
        <w:t xml:space="preserve"> </w:t>
      </w:r>
      <w:r w:rsidR="007F6ACE" w:rsidRPr="00385FD7">
        <w:rPr>
          <w:rFonts w:eastAsiaTheme="minorHAnsi"/>
          <w:szCs w:val="24"/>
        </w:rPr>
        <w:t>Fatigue/lethargy</w:t>
      </w:r>
      <w:r w:rsidR="00177D00" w:rsidRPr="00385FD7">
        <w:rPr>
          <w:rFonts w:eastAsiaTheme="minorHAnsi"/>
          <w:szCs w:val="24"/>
        </w:rPr>
        <w:t>,</w:t>
      </w:r>
      <w:r w:rsidR="00177D00" w:rsidRPr="00385FD7">
        <w:rPr>
          <w:rFonts w:eastAsiaTheme="minorHAnsi"/>
          <w:b/>
          <w:bCs/>
          <w:szCs w:val="24"/>
        </w:rPr>
        <w:t xml:space="preserve"> </w:t>
      </w:r>
      <w:r w:rsidR="007F6ACE" w:rsidRPr="00385FD7">
        <w:rPr>
          <w:rFonts w:eastAsiaTheme="minorHAnsi"/>
          <w:szCs w:val="24"/>
        </w:rPr>
        <w:t>Irritability</w:t>
      </w:r>
      <w:r w:rsidR="00177D00" w:rsidRPr="00385FD7">
        <w:rPr>
          <w:rFonts w:eastAsiaTheme="minorHAnsi"/>
          <w:b/>
          <w:bCs/>
          <w:szCs w:val="24"/>
        </w:rPr>
        <w:t xml:space="preserve">, </w:t>
      </w:r>
      <w:r w:rsidR="007F6ACE" w:rsidRPr="00385FD7">
        <w:rPr>
          <w:rFonts w:eastAsiaTheme="minorHAnsi"/>
          <w:szCs w:val="24"/>
        </w:rPr>
        <w:t>Depression</w:t>
      </w:r>
      <w:r w:rsidR="00177D00" w:rsidRPr="00385FD7">
        <w:rPr>
          <w:rFonts w:eastAsiaTheme="minorHAnsi"/>
          <w:b/>
          <w:bCs/>
          <w:szCs w:val="24"/>
        </w:rPr>
        <w:t xml:space="preserve">, </w:t>
      </w:r>
      <w:r w:rsidR="007F6ACE" w:rsidRPr="00385FD7">
        <w:rPr>
          <w:rFonts w:eastAsiaTheme="minorHAnsi"/>
          <w:szCs w:val="24"/>
        </w:rPr>
        <w:t>Anxiety</w:t>
      </w:r>
      <w:r w:rsidR="00177D00" w:rsidRPr="00385FD7">
        <w:rPr>
          <w:rFonts w:eastAsiaTheme="minorHAnsi"/>
          <w:b/>
          <w:bCs/>
          <w:szCs w:val="24"/>
        </w:rPr>
        <w:t xml:space="preserve">, </w:t>
      </w:r>
      <w:r w:rsidR="007F6ACE" w:rsidRPr="00385FD7">
        <w:rPr>
          <w:rFonts w:eastAsiaTheme="minorHAnsi"/>
          <w:szCs w:val="24"/>
        </w:rPr>
        <w:t>Sleeping more than usual</w:t>
      </w:r>
      <w:r w:rsidR="00177D00" w:rsidRPr="00385FD7">
        <w:rPr>
          <w:rFonts w:eastAsiaTheme="minorHAnsi"/>
          <w:b/>
          <w:bCs/>
          <w:szCs w:val="24"/>
        </w:rPr>
        <w:t xml:space="preserve">, </w:t>
      </w:r>
      <w:r w:rsidR="007F6ACE" w:rsidRPr="00385FD7">
        <w:rPr>
          <w:rFonts w:eastAsiaTheme="minorHAnsi"/>
          <w:szCs w:val="24"/>
        </w:rPr>
        <w:t>Difficulty falling asleep</w:t>
      </w:r>
      <w:r w:rsidR="00177D00" w:rsidRPr="00385FD7">
        <w:rPr>
          <w:rFonts w:eastAsiaTheme="minorHAnsi"/>
          <w:szCs w:val="24"/>
        </w:rPr>
        <w:t>.</w:t>
      </w:r>
    </w:p>
    <w:p w:rsidR="00D75D91" w:rsidRPr="00385FD7" w:rsidRDefault="007F6ACE" w:rsidP="00D75D91">
      <w:pPr>
        <w:pStyle w:val="ListParagraph"/>
        <w:numPr>
          <w:ilvl w:val="0"/>
          <w:numId w:val="19"/>
        </w:numPr>
        <w:autoSpaceDE w:val="0"/>
        <w:autoSpaceDN w:val="0"/>
        <w:adjustRightInd w:val="0"/>
        <w:rPr>
          <w:rFonts w:eastAsiaTheme="minorHAnsi"/>
          <w:szCs w:val="24"/>
        </w:rPr>
      </w:pPr>
      <w:proofErr w:type="spellStart"/>
      <w:r w:rsidRPr="00385FD7">
        <w:rPr>
          <w:rFonts w:eastAsiaTheme="minorHAnsi"/>
          <w:b/>
          <w:bCs/>
          <w:szCs w:val="24"/>
        </w:rPr>
        <w:t>Cognitive</w:t>
      </w:r>
      <w:r w:rsidR="00177D00" w:rsidRPr="00385FD7">
        <w:rPr>
          <w:rFonts w:eastAsiaTheme="minorHAnsi"/>
          <w:b/>
          <w:bCs/>
          <w:szCs w:val="24"/>
        </w:rPr>
        <w:t>Symptoms</w:t>
      </w:r>
      <w:proofErr w:type="spellEnd"/>
      <w:r w:rsidR="00177D00" w:rsidRPr="00385FD7">
        <w:rPr>
          <w:rFonts w:eastAsiaTheme="minorHAnsi"/>
          <w:b/>
          <w:bCs/>
          <w:szCs w:val="24"/>
        </w:rPr>
        <w:t xml:space="preserve"> of mTBI include: </w:t>
      </w:r>
      <w:r w:rsidRPr="00385FD7">
        <w:rPr>
          <w:rFonts w:eastAsiaTheme="minorHAnsi"/>
          <w:szCs w:val="24"/>
        </w:rPr>
        <w:t>Feeling “slowed down”</w:t>
      </w:r>
      <w:r w:rsidR="00177D00" w:rsidRPr="00385FD7">
        <w:rPr>
          <w:rFonts w:eastAsiaTheme="minorHAnsi"/>
          <w:b/>
          <w:bCs/>
          <w:szCs w:val="24"/>
        </w:rPr>
        <w:t xml:space="preserve">, </w:t>
      </w:r>
      <w:r w:rsidRPr="00385FD7">
        <w:rPr>
          <w:rFonts w:eastAsiaTheme="minorHAnsi"/>
          <w:szCs w:val="24"/>
        </w:rPr>
        <w:t>Feeling “in a fog” or “dazed”</w:t>
      </w:r>
      <w:r w:rsidR="00177D00" w:rsidRPr="00385FD7">
        <w:rPr>
          <w:rFonts w:eastAsiaTheme="minorHAnsi"/>
          <w:b/>
          <w:bCs/>
          <w:szCs w:val="24"/>
        </w:rPr>
        <w:t xml:space="preserve">, </w:t>
      </w:r>
      <w:r w:rsidRPr="00385FD7">
        <w:rPr>
          <w:rFonts w:eastAsiaTheme="minorHAnsi"/>
          <w:szCs w:val="24"/>
        </w:rPr>
        <w:t>Difficulty concentrating</w:t>
      </w:r>
      <w:r w:rsidR="00177D00" w:rsidRPr="00385FD7">
        <w:rPr>
          <w:rFonts w:eastAsiaTheme="minorHAnsi"/>
          <w:b/>
          <w:bCs/>
          <w:szCs w:val="24"/>
        </w:rPr>
        <w:t xml:space="preserve">, </w:t>
      </w:r>
      <w:r w:rsidRPr="00385FD7">
        <w:rPr>
          <w:rFonts w:eastAsiaTheme="minorHAnsi"/>
          <w:szCs w:val="24"/>
        </w:rPr>
        <w:t>Difficulty remembering</w:t>
      </w:r>
      <w:r w:rsidR="00D75D91" w:rsidRPr="00385FD7">
        <w:rPr>
          <w:rFonts w:eastAsiaTheme="minorHAnsi"/>
          <w:szCs w:val="24"/>
        </w:rPr>
        <w:t>.</w:t>
      </w:r>
    </w:p>
    <w:p w:rsidR="00D75D91" w:rsidRPr="00385FD7" w:rsidRDefault="00D75D91" w:rsidP="00D75D91">
      <w:pPr>
        <w:pStyle w:val="ListParagraph"/>
        <w:numPr>
          <w:ilvl w:val="0"/>
          <w:numId w:val="19"/>
        </w:numPr>
        <w:autoSpaceDE w:val="0"/>
        <w:autoSpaceDN w:val="0"/>
        <w:adjustRightInd w:val="0"/>
        <w:rPr>
          <w:rFonts w:eastAsiaTheme="minorHAnsi"/>
          <w:szCs w:val="24"/>
        </w:rPr>
      </w:pPr>
      <w:r w:rsidRPr="00575A4F">
        <w:rPr>
          <w:rFonts w:eastAsiaTheme="minorHAnsi"/>
          <w:b/>
          <w:color w:val="1F497D" w:themeColor="text2"/>
          <w:szCs w:val="24"/>
        </w:rPr>
        <w:t>Computed Axial Tomography (CAT) and conventional Magnetic Resonance Imaging (MRI) usually fail to detect evidence of structural brain abnormalities in mTBI</w:t>
      </w:r>
      <w:r w:rsidRPr="00385FD7">
        <w:rPr>
          <w:rFonts w:eastAsiaTheme="minorHAnsi"/>
          <w:szCs w:val="24"/>
        </w:rPr>
        <w:t>.</w:t>
      </w:r>
    </w:p>
    <w:p w:rsidR="005000B4" w:rsidRPr="00385FD7" w:rsidRDefault="00575A4F" w:rsidP="00D75D91">
      <w:pPr>
        <w:pStyle w:val="ListParagraph"/>
        <w:numPr>
          <w:ilvl w:val="0"/>
          <w:numId w:val="19"/>
        </w:numPr>
        <w:autoSpaceDE w:val="0"/>
        <w:autoSpaceDN w:val="0"/>
        <w:adjustRightInd w:val="0"/>
        <w:rPr>
          <w:rFonts w:eastAsiaTheme="minorHAnsi"/>
          <w:szCs w:val="24"/>
        </w:rPr>
      </w:pPr>
      <w:r>
        <w:rPr>
          <w:rFonts w:eastAsiaTheme="minorHAnsi"/>
          <w:szCs w:val="24"/>
        </w:rPr>
        <w:t xml:space="preserve">The </w:t>
      </w:r>
      <w:r w:rsidR="00D75D91" w:rsidRPr="00385FD7">
        <w:rPr>
          <w:rFonts w:eastAsiaTheme="minorHAnsi"/>
          <w:szCs w:val="24"/>
        </w:rPr>
        <w:t xml:space="preserve">mTBI </w:t>
      </w:r>
      <w:r>
        <w:rPr>
          <w:rFonts w:eastAsiaTheme="minorHAnsi"/>
          <w:szCs w:val="24"/>
        </w:rPr>
        <w:t>definition</w:t>
      </w:r>
      <w:r w:rsidR="00D75D91" w:rsidRPr="00385FD7">
        <w:rPr>
          <w:rFonts w:eastAsiaTheme="minorHAnsi"/>
          <w:szCs w:val="24"/>
        </w:rPr>
        <w:t xml:space="preserve"> </w:t>
      </w:r>
      <w:r>
        <w:rPr>
          <w:rFonts w:eastAsiaTheme="minorHAnsi"/>
          <w:szCs w:val="24"/>
        </w:rPr>
        <w:t xml:space="preserve">includes </w:t>
      </w:r>
      <w:r w:rsidR="00D75D91" w:rsidRPr="00385FD7">
        <w:rPr>
          <w:rFonts w:eastAsiaTheme="minorHAnsi"/>
          <w:szCs w:val="24"/>
        </w:rPr>
        <w:t xml:space="preserve">a </w:t>
      </w:r>
      <w:r>
        <w:rPr>
          <w:rFonts w:eastAsiaTheme="minorHAnsi"/>
          <w:szCs w:val="24"/>
        </w:rPr>
        <w:t>Glasgow Coma Scale (</w:t>
      </w:r>
      <w:r w:rsidR="00D75D91" w:rsidRPr="00385FD7">
        <w:rPr>
          <w:rFonts w:eastAsiaTheme="minorHAnsi"/>
          <w:szCs w:val="24"/>
        </w:rPr>
        <w:t>GCS</w:t>
      </w:r>
      <w:r>
        <w:rPr>
          <w:rFonts w:eastAsiaTheme="minorHAnsi"/>
          <w:szCs w:val="24"/>
        </w:rPr>
        <w:t>)</w:t>
      </w:r>
      <w:r w:rsidR="00D75D91" w:rsidRPr="00385FD7">
        <w:rPr>
          <w:rFonts w:eastAsiaTheme="minorHAnsi"/>
          <w:szCs w:val="24"/>
        </w:rPr>
        <w:t xml:space="preserve"> score of 13-15</w:t>
      </w:r>
    </w:p>
    <w:p w:rsidR="00D75D91" w:rsidRPr="00385FD7" w:rsidRDefault="00D75D91" w:rsidP="00D75D91">
      <w:pPr>
        <w:pStyle w:val="ListParagraph"/>
        <w:numPr>
          <w:ilvl w:val="0"/>
          <w:numId w:val="19"/>
        </w:numPr>
        <w:autoSpaceDE w:val="0"/>
        <w:autoSpaceDN w:val="0"/>
        <w:adjustRightInd w:val="0"/>
        <w:rPr>
          <w:rFonts w:eastAsiaTheme="minorHAnsi"/>
          <w:szCs w:val="24"/>
        </w:rPr>
      </w:pPr>
      <w:r w:rsidRPr="00385FD7">
        <w:rPr>
          <w:rFonts w:eastAsiaTheme="minorHAnsi"/>
          <w:szCs w:val="24"/>
        </w:rPr>
        <w:t>Post traumatic amnesia (PTA</w:t>
      </w:r>
      <w:r w:rsidR="00575A4F">
        <w:rPr>
          <w:rFonts w:eastAsiaTheme="minorHAnsi"/>
          <w:szCs w:val="24"/>
        </w:rPr>
        <w:t>)</w:t>
      </w:r>
      <w:r w:rsidRPr="00385FD7">
        <w:rPr>
          <w:rFonts w:eastAsiaTheme="minorHAnsi"/>
          <w:szCs w:val="24"/>
        </w:rPr>
        <w:t xml:space="preserve"> is another criteria used to define injury severity.</w:t>
      </w:r>
    </w:p>
    <w:p w:rsidR="00D75D91" w:rsidRPr="00385FD7" w:rsidRDefault="00D75D91" w:rsidP="00D75D91">
      <w:pPr>
        <w:pStyle w:val="ListParagraph"/>
        <w:numPr>
          <w:ilvl w:val="0"/>
          <w:numId w:val="19"/>
        </w:numPr>
        <w:autoSpaceDE w:val="0"/>
        <w:autoSpaceDN w:val="0"/>
        <w:adjustRightInd w:val="0"/>
        <w:rPr>
          <w:rFonts w:eastAsiaTheme="minorHAnsi"/>
          <w:szCs w:val="24"/>
        </w:rPr>
      </w:pPr>
      <w:r w:rsidRPr="00385FD7">
        <w:rPr>
          <w:rFonts w:eastAsiaTheme="minorHAnsi"/>
          <w:szCs w:val="24"/>
        </w:rPr>
        <w:t xml:space="preserve">Loss of consciousness of </w:t>
      </w:r>
      <w:r w:rsidR="00464A7F">
        <w:rPr>
          <w:rFonts w:eastAsiaTheme="minorHAnsi"/>
          <w:szCs w:val="24"/>
        </w:rPr>
        <w:t>less than 30 minutes also serves</w:t>
      </w:r>
      <w:r w:rsidRPr="00385FD7">
        <w:rPr>
          <w:rFonts w:eastAsiaTheme="minorHAnsi"/>
          <w:szCs w:val="24"/>
        </w:rPr>
        <w:t xml:space="preserve"> as an index of mild TBI.</w:t>
      </w:r>
    </w:p>
    <w:p w:rsidR="00D75D91" w:rsidRPr="00464A7F" w:rsidRDefault="00D75D91" w:rsidP="00D75D91">
      <w:pPr>
        <w:pStyle w:val="ListParagraph"/>
        <w:numPr>
          <w:ilvl w:val="0"/>
          <w:numId w:val="19"/>
        </w:numPr>
        <w:autoSpaceDE w:val="0"/>
        <w:autoSpaceDN w:val="0"/>
        <w:adjustRightInd w:val="0"/>
        <w:rPr>
          <w:rFonts w:eastAsiaTheme="minorHAnsi"/>
          <w:b/>
          <w:color w:val="1F497D" w:themeColor="text2"/>
          <w:szCs w:val="24"/>
        </w:rPr>
      </w:pPr>
      <w:r w:rsidRPr="00464A7F">
        <w:rPr>
          <w:rFonts w:eastAsiaTheme="minorHAnsi"/>
          <w:b/>
          <w:color w:val="1F497D" w:themeColor="text2"/>
          <w:szCs w:val="24"/>
        </w:rPr>
        <w:t>It should be noted that mTBI can occur in the absence of any loss of consciousness</w:t>
      </w:r>
    </w:p>
    <w:p w:rsidR="00D75D91" w:rsidRPr="00385FD7" w:rsidRDefault="00D75D91" w:rsidP="00D75D91">
      <w:pPr>
        <w:pStyle w:val="ListParagraph"/>
        <w:numPr>
          <w:ilvl w:val="0"/>
          <w:numId w:val="19"/>
        </w:numPr>
        <w:autoSpaceDE w:val="0"/>
        <w:autoSpaceDN w:val="0"/>
        <w:adjustRightInd w:val="0"/>
        <w:rPr>
          <w:rFonts w:eastAsiaTheme="minorHAnsi"/>
          <w:szCs w:val="24"/>
        </w:rPr>
      </w:pPr>
      <w:r w:rsidRPr="00385FD7">
        <w:rPr>
          <w:rFonts w:eastAsiaTheme="minorHAnsi"/>
          <w:szCs w:val="24"/>
        </w:rPr>
        <w:t>A patient with mild traumatic brain injury is a person who has had a traumatically induced physiological disruption</w:t>
      </w:r>
      <w:r w:rsidR="00464A7F">
        <w:rPr>
          <w:rFonts w:eastAsiaTheme="minorHAnsi"/>
          <w:szCs w:val="24"/>
        </w:rPr>
        <w:t xml:space="preserve"> </w:t>
      </w:r>
      <w:r w:rsidRPr="00385FD7">
        <w:rPr>
          <w:rFonts w:eastAsiaTheme="minorHAnsi"/>
          <w:szCs w:val="24"/>
        </w:rPr>
        <w:t>of brain function, as manifested by one or more of the following:</w:t>
      </w:r>
    </w:p>
    <w:p w:rsidR="00D75D91" w:rsidRPr="00385FD7" w:rsidRDefault="00D75D91" w:rsidP="00D75D91">
      <w:pPr>
        <w:pStyle w:val="ListParagraph"/>
        <w:autoSpaceDE w:val="0"/>
        <w:autoSpaceDN w:val="0"/>
        <w:adjustRightInd w:val="0"/>
        <w:ind w:left="0"/>
        <w:rPr>
          <w:rFonts w:eastAsiaTheme="minorHAnsi"/>
          <w:szCs w:val="24"/>
        </w:rPr>
      </w:pPr>
      <w:r w:rsidRPr="00385FD7">
        <w:rPr>
          <w:rFonts w:eastAsiaTheme="minorHAnsi"/>
          <w:szCs w:val="24"/>
        </w:rPr>
        <w:t>• Any period of loss of consciousness for up to 30 minutes</w:t>
      </w:r>
    </w:p>
    <w:p w:rsidR="00D75D91" w:rsidRPr="00385FD7" w:rsidRDefault="00D75D91" w:rsidP="00D75D91">
      <w:pPr>
        <w:pStyle w:val="ListParagraph"/>
        <w:autoSpaceDE w:val="0"/>
        <w:autoSpaceDN w:val="0"/>
        <w:adjustRightInd w:val="0"/>
        <w:ind w:left="0"/>
        <w:rPr>
          <w:rFonts w:eastAsiaTheme="minorHAnsi"/>
          <w:szCs w:val="24"/>
        </w:rPr>
      </w:pPr>
      <w:r w:rsidRPr="00385FD7">
        <w:rPr>
          <w:rFonts w:eastAsiaTheme="minorHAnsi"/>
          <w:szCs w:val="24"/>
        </w:rPr>
        <w:t>• Any loss of memory for events immediately before or after the accident for as much as 24 hours</w:t>
      </w:r>
    </w:p>
    <w:p w:rsidR="00D75D91" w:rsidRPr="00385FD7" w:rsidRDefault="00D75D91" w:rsidP="00D75D91">
      <w:pPr>
        <w:pStyle w:val="ListParagraph"/>
        <w:autoSpaceDE w:val="0"/>
        <w:autoSpaceDN w:val="0"/>
        <w:adjustRightInd w:val="0"/>
        <w:ind w:left="0"/>
        <w:rPr>
          <w:rFonts w:eastAsiaTheme="minorHAnsi"/>
          <w:szCs w:val="24"/>
        </w:rPr>
      </w:pPr>
      <w:r w:rsidRPr="00385FD7">
        <w:rPr>
          <w:rFonts w:eastAsiaTheme="minorHAnsi"/>
          <w:szCs w:val="24"/>
        </w:rPr>
        <w:t>• Any alteration of mental state at the time of the accident (e.g., feeling dazed, disoriented, or confused)</w:t>
      </w:r>
    </w:p>
    <w:p w:rsidR="00D75D91" w:rsidRPr="00385FD7" w:rsidRDefault="00D75D91" w:rsidP="00D75D91">
      <w:pPr>
        <w:pStyle w:val="ListParagraph"/>
        <w:autoSpaceDE w:val="0"/>
        <w:autoSpaceDN w:val="0"/>
        <w:adjustRightInd w:val="0"/>
        <w:ind w:left="0"/>
        <w:rPr>
          <w:rFonts w:eastAsiaTheme="minorHAnsi"/>
          <w:szCs w:val="24"/>
        </w:rPr>
      </w:pPr>
      <w:r w:rsidRPr="00385FD7">
        <w:rPr>
          <w:rFonts w:eastAsiaTheme="minorHAnsi"/>
          <w:szCs w:val="24"/>
        </w:rPr>
        <w:t>• Focal neurological deficit(s) that may or may not be transient.</w:t>
      </w:r>
    </w:p>
    <w:p w:rsidR="00D75D91" w:rsidRPr="00385FD7" w:rsidRDefault="00D75D91" w:rsidP="00D75D91">
      <w:pPr>
        <w:pStyle w:val="ListParagraph"/>
        <w:numPr>
          <w:ilvl w:val="0"/>
          <w:numId w:val="19"/>
        </w:numPr>
        <w:autoSpaceDE w:val="0"/>
        <w:autoSpaceDN w:val="0"/>
        <w:adjustRightInd w:val="0"/>
        <w:rPr>
          <w:rFonts w:eastAsiaTheme="minorHAnsi"/>
          <w:szCs w:val="24"/>
        </w:rPr>
      </w:pPr>
      <w:r w:rsidRPr="00385FD7">
        <w:rPr>
          <w:rFonts w:eastAsiaTheme="minorHAnsi"/>
          <w:szCs w:val="24"/>
        </w:rPr>
        <w:t>In most cases, patients who experience mTBI will recover fully, typically within days to months. Th</w:t>
      </w:r>
      <w:r w:rsidR="00F2522A">
        <w:rPr>
          <w:rFonts w:eastAsiaTheme="minorHAnsi"/>
          <w:szCs w:val="24"/>
        </w:rPr>
        <w:t>e concern is that, as the Center</w:t>
      </w:r>
      <w:r w:rsidRPr="00385FD7">
        <w:rPr>
          <w:rFonts w:eastAsiaTheme="minorHAnsi"/>
          <w:szCs w:val="24"/>
        </w:rPr>
        <w:t xml:space="preserve"> for Disease Control (CDC) notes</w:t>
      </w:r>
      <w:r w:rsidRPr="00385FD7">
        <w:rPr>
          <w:rFonts w:eastAsiaTheme="minorHAnsi"/>
          <w:b/>
          <w:color w:val="1F497D" w:themeColor="text2"/>
          <w:szCs w:val="24"/>
        </w:rPr>
        <w:t xml:space="preserve">, </w:t>
      </w:r>
      <w:r w:rsidRPr="00385FD7">
        <w:rPr>
          <w:rFonts w:eastAsiaTheme="minorHAnsi"/>
          <w:b/>
          <w:i/>
          <w:color w:val="1F497D" w:themeColor="text2"/>
          <w:szCs w:val="24"/>
        </w:rPr>
        <w:t>“up to 15% of patients diagnosed with mTBI may have experienced persistent disabling problems</w:t>
      </w:r>
      <w:r w:rsidRPr="00385FD7">
        <w:rPr>
          <w:rFonts w:eastAsiaTheme="minorHAnsi"/>
          <w:color w:val="1F497D" w:themeColor="text2"/>
          <w:szCs w:val="24"/>
        </w:rPr>
        <w:t>”</w:t>
      </w:r>
    </w:p>
    <w:p w:rsidR="00D75D91" w:rsidRPr="00385FD7" w:rsidRDefault="00D75D91" w:rsidP="002029D5">
      <w:pPr>
        <w:pStyle w:val="ListParagraph"/>
        <w:numPr>
          <w:ilvl w:val="0"/>
          <w:numId w:val="19"/>
        </w:numPr>
        <w:autoSpaceDE w:val="0"/>
        <w:autoSpaceDN w:val="0"/>
        <w:adjustRightInd w:val="0"/>
        <w:rPr>
          <w:rFonts w:eastAsiaTheme="minorHAnsi"/>
          <w:szCs w:val="24"/>
        </w:rPr>
      </w:pPr>
      <w:r w:rsidRPr="00385FD7">
        <w:rPr>
          <w:rFonts w:eastAsiaTheme="minorHAnsi"/>
          <w:szCs w:val="24"/>
        </w:rPr>
        <w:t>Another area of controversy is the potential influence of related litigation an</w:t>
      </w:r>
      <w:r w:rsidR="002029D5" w:rsidRPr="00385FD7">
        <w:rPr>
          <w:rFonts w:eastAsiaTheme="minorHAnsi"/>
          <w:szCs w:val="24"/>
        </w:rPr>
        <w:t xml:space="preserve">d financial compensation on the </w:t>
      </w:r>
      <w:r w:rsidRPr="00385FD7">
        <w:rPr>
          <w:rFonts w:eastAsiaTheme="minorHAnsi"/>
          <w:szCs w:val="24"/>
        </w:rPr>
        <w:t>presentation and outcome for persons who have sustained mTBI. While the</w:t>
      </w:r>
      <w:r w:rsidR="002029D5" w:rsidRPr="00385FD7">
        <w:rPr>
          <w:rFonts w:eastAsiaTheme="minorHAnsi"/>
          <w:szCs w:val="24"/>
        </w:rPr>
        <w:t xml:space="preserve">re is consistent evidence of an </w:t>
      </w:r>
      <w:r w:rsidRPr="00385FD7">
        <w:rPr>
          <w:rFonts w:eastAsiaTheme="minorHAnsi"/>
          <w:szCs w:val="24"/>
        </w:rPr>
        <w:t xml:space="preserve">association between seeking/receiving financial compensation (i.e., via disability </w:t>
      </w:r>
      <w:r w:rsidR="002029D5" w:rsidRPr="00385FD7">
        <w:rPr>
          <w:rFonts w:eastAsiaTheme="minorHAnsi"/>
          <w:szCs w:val="24"/>
        </w:rPr>
        <w:t xml:space="preserve">benefits or litigation) and the </w:t>
      </w:r>
      <w:r w:rsidRPr="00385FD7">
        <w:rPr>
          <w:rFonts w:eastAsiaTheme="minorHAnsi"/>
          <w:szCs w:val="24"/>
        </w:rPr>
        <w:t xml:space="preserve">persistence of postconcussive symptoms, this relationship is complex and </w:t>
      </w:r>
      <w:r w:rsidR="002029D5" w:rsidRPr="00385FD7">
        <w:rPr>
          <w:rFonts w:eastAsiaTheme="minorHAnsi"/>
          <w:szCs w:val="24"/>
        </w:rPr>
        <w:t xml:space="preserve">it must not be assumed that the </w:t>
      </w:r>
      <w:r w:rsidRPr="00385FD7">
        <w:rPr>
          <w:rFonts w:eastAsiaTheme="minorHAnsi"/>
          <w:szCs w:val="24"/>
        </w:rPr>
        <w:t xml:space="preserve">initiation of a compensation claim arises solely from the pursuit of secondary gain. </w:t>
      </w:r>
      <w:r w:rsidRPr="00385FD7">
        <w:rPr>
          <w:rFonts w:eastAsiaTheme="minorHAnsi"/>
          <w:b/>
          <w:color w:val="1F497D" w:themeColor="text2"/>
          <w:szCs w:val="24"/>
        </w:rPr>
        <w:t xml:space="preserve">The </w:t>
      </w:r>
      <w:r w:rsidRPr="00385FD7">
        <w:rPr>
          <w:rFonts w:eastAsiaTheme="minorHAnsi"/>
          <w:b/>
          <w:i/>
          <w:iCs/>
          <w:color w:val="1F497D" w:themeColor="text2"/>
          <w:szCs w:val="24"/>
        </w:rPr>
        <w:t xml:space="preserve">intentional </w:t>
      </w:r>
      <w:r w:rsidR="002029D5" w:rsidRPr="00385FD7">
        <w:rPr>
          <w:rFonts w:eastAsiaTheme="minorHAnsi"/>
          <w:b/>
          <w:color w:val="1F497D" w:themeColor="text2"/>
          <w:szCs w:val="24"/>
        </w:rPr>
        <w:t xml:space="preserve">exaggeration or </w:t>
      </w:r>
      <w:r w:rsidRPr="00385FD7">
        <w:rPr>
          <w:rFonts w:eastAsiaTheme="minorHAnsi"/>
          <w:b/>
          <w:color w:val="1F497D" w:themeColor="text2"/>
          <w:szCs w:val="24"/>
        </w:rPr>
        <w:t>manufacturing of symptoms (i.e., malingering) is relatively rare</w:t>
      </w:r>
      <w:r w:rsidRPr="00385FD7">
        <w:rPr>
          <w:rFonts w:eastAsiaTheme="minorHAnsi"/>
          <w:szCs w:val="24"/>
        </w:rPr>
        <w:t>;</w:t>
      </w:r>
    </w:p>
    <w:p w:rsidR="002029D5" w:rsidRPr="00385FD7" w:rsidRDefault="002029D5" w:rsidP="002029D5">
      <w:pPr>
        <w:pStyle w:val="ListParagraph"/>
        <w:numPr>
          <w:ilvl w:val="0"/>
          <w:numId w:val="19"/>
        </w:numPr>
        <w:autoSpaceDE w:val="0"/>
        <w:autoSpaceDN w:val="0"/>
        <w:adjustRightInd w:val="0"/>
        <w:rPr>
          <w:rFonts w:eastAsiaTheme="minorHAnsi"/>
          <w:szCs w:val="24"/>
        </w:rPr>
      </w:pPr>
      <w:r w:rsidRPr="00385FD7">
        <w:rPr>
          <w:rFonts w:eastAsiaTheme="minorHAnsi"/>
          <w:szCs w:val="24"/>
        </w:rPr>
        <w:t>Risk Factors Influencing Recovery Post mTBI</w:t>
      </w:r>
    </w:p>
    <w:p w:rsidR="002029D5" w:rsidRPr="00385FD7" w:rsidRDefault="002029D5" w:rsidP="002029D5">
      <w:pPr>
        <w:pStyle w:val="ListParagraph"/>
        <w:numPr>
          <w:ilvl w:val="0"/>
          <w:numId w:val="20"/>
        </w:numPr>
        <w:autoSpaceDE w:val="0"/>
        <w:autoSpaceDN w:val="0"/>
        <w:adjustRightInd w:val="0"/>
        <w:rPr>
          <w:rFonts w:eastAsiaTheme="minorHAnsi"/>
          <w:szCs w:val="24"/>
        </w:rPr>
      </w:pPr>
      <w:r w:rsidRPr="00385FD7">
        <w:rPr>
          <w:rFonts w:eastAsiaTheme="minorHAnsi"/>
          <w:szCs w:val="24"/>
        </w:rPr>
        <w:t>Medical Factors (red flags)</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Post-traumatic amnesia (PTA)</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History of previous traumatic brain injury</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lastRenderedPageBreak/>
        <w:t>History of previous physical limitations</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History of previous neurological or psychiatric problems</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High number of symptoms reported early after injury</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Skull fracture</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Early onset of pain and in particular headache within 24 hours after injury</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Reduced balance or dizziness during acute stage</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Confounding effects of other health related issues, e.g., pain medications, disabling effects of associated injuries, emotional distress</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Presence of nausea after injury</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Presence of memory problems after injury</w:t>
      </w:r>
    </w:p>
    <w:p w:rsidR="002029D5" w:rsidRPr="00385FD7" w:rsidRDefault="002029D5" w:rsidP="002029D5">
      <w:pPr>
        <w:pStyle w:val="ListParagraph"/>
        <w:numPr>
          <w:ilvl w:val="0"/>
          <w:numId w:val="20"/>
        </w:numPr>
        <w:autoSpaceDE w:val="0"/>
        <w:autoSpaceDN w:val="0"/>
        <w:adjustRightInd w:val="0"/>
        <w:rPr>
          <w:rFonts w:eastAsiaTheme="minorHAnsi"/>
          <w:szCs w:val="24"/>
        </w:rPr>
      </w:pPr>
      <w:r w:rsidRPr="00385FD7">
        <w:rPr>
          <w:rFonts w:eastAsiaTheme="minorHAnsi"/>
          <w:szCs w:val="24"/>
        </w:rPr>
        <w:t>Contextual Factors (yellow flags)</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Injury sustained in a motor vehicle accident</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The potential influence of secondary gain issues related to litigation and compensation</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Not returning to work or significant delays in returning to work following the injury</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Being a student</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Presence of life stressors at the time of the injury</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Higher levels of symptom reporting is associated with mood symptoms and heightened self-awareness of deficit</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Older age</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Lack of social supports</w:t>
      </w:r>
    </w:p>
    <w:p w:rsidR="002029D5" w:rsidRPr="00385FD7" w:rsidRDefault="002029D5" w:rsidP="002029D5">
      <w:pPr>
        <w:pStyle w:val="ListParagraph"/>
        <w:numPr>
          <w:ilvl w:val="1"/>
          <w:numId w:val="20"/>
        </w:numPr>
        <w:autoSpaceDE w:val="0"/>
        <w:autoSpaceDN w:val="0"/>
        <w:adjustRightInd w:val="0"/>
        <w:rPr>
          <w:rFonts w:eastAsiaTheme="minorHAnsi"/>
          <w:szCs w:val="24"/>
        </w:rPr>
      </w:pPr>
      <w:r w:rsidRPr="00385FD7">
        <w:rPr>
          <w:rFonts w:eastAsiaTheme="minorHAnsi"/>
          <w:szCs w:val="24"/>
        </w:rPr>
        <w:t>Less education/lower social economic status</w:t>
      </w:r>
    </w:p>
    <w:p w:rsidR="00140153" w:rsidRPr="00385FD7" w:rsidRDefault="00140153" w:rsidP="00140153">
      <w:pPr>
        <w:pStyle w:val="ListParagraph"/>
        <w:numPr>
          <w:ilvl w:val="0"/>
          <w:numId w:val="19"/>
        </w:numPr>
        <w:autoSpaceDE w:val="0"/>
        <w:autoSpaceDN w:val="0"/>
        <w:adjustRightInd w:val="0"/>
        <w:rPr>
          <w:rFonts w:eastAsiaTheme="minorHAnsi"/>
          <w:szCs w:val="24"/>
        </w:rPr>
      </w:pPr>
      <w:r w:rsidRPr="00385FD7">
        <w:rPr>
          <w:rFonts w:eastAsiaTheme="minorHAnsi"/>
          <w:szCs w:val="24"/>
        </w:rPr>
        <w:t xml:space="preserve">The Abbreviated </w:t>
      </w:r>
      <w:proofErr w:type="spellStart"/>
      <w:r w:rsidRPr="00385FD7">
        <w:rPr>
          <w:rFonts w:eastAsiaTheme="minorHAnsi"/>
          <w:szCs w:val="24"/>
        </w:rPr>
        <w:t>Westmead</w:t>
      </w:r>
      <w:proofErr w:type="spellEnd"/>
      <w:r w:rsidRPr="00385FD7">
        <w:rPr>
          <w:rFonts w:eastAsiaTheme="minorHAnsi"/>
          <w:szCs w:val="24"/>
        </w:rPr>
        <w:t xml:space="preserve"> Post Traumatic Amnesia Scale (A-WPTAS) is a standardized tool that can be used to evaluate post traumatic amnesia. This tool has the advantage of being used with non-English speaking patients.</w:t>
      </w:r>
    </w:p>
    <w:p w:rsidR="00140153" w:rsidRPr="00385FD7" w:rsidRDefault="00140153" w:rsidP="00140153">
      <w:pPr>
        <w:pStyle w:val="ListParagraph"/>
        <w:numPr>
          <w:ilvl w:val="0"/>
          <w:numId w:val="19"/>
        </w:numPr>
        <w:autoSpaceDE w:val="0"/>
        <w:autoSpaceDN w:val="0"/>
        <w:adjustRightInd w:val="0"/>
        <w:rPr>
          <w:rFonts w:eastAsiaTheme="minorHAnsi"/>
          <w:szCs w:val="24"/>
        </w:rPr>
      </w:pPr>
      <w:r w:rsidRPr="00385FD7">
        <w:rPr>
          <w:rFonts w:eastAsiaTheme="minorHAnsi"/>
          <w:szCs w:val="24"/>
        </w:rPr>
        <w:t xml:space="preserve">The assessment and monitoring of symptoms following mTBI may be facilitated using the </w:t>
      </w:r>
      <w:proofErr w:type="spellStart"/>
      <w:r w:rsidRPr="00385FD7">
        <w:rPr>
          <w:rFonts w:eastAsiaTheme="minorHAnsi"/>
          <w:szCs w:val="24"/>
        </w:rPr>
        <w:t>Rivermead</w:t>
      </w:r>
      <w:proofErr w:type="spellEnd"/>
      <w:r w:rsidRPr="00385FD7">
        <w:rPr>
          <w:rFonts w:eastAsiaTheme="minorHAnsi"/>
          <w:szCs w:val="24"/>
        </w:rPr>
        <w:t xml:space="preserve"> Post Concussion Symptoms Questionnaire.</w:t>
      </w:r>
    </w:p>
    <w:p w:rsidR="00140153" w:rsidRPr="00385FD7" w:rsidRDefault="00140153" w:rsidP="00D86B33">
      <w:pPr>
        <w:pStyle w:val="ListParagraph"/>
        <w:numPr>
          <w:ilvl w:val="0"/>
          <w:numId w:val="19"/>
        </w:numPr>
        <w:autoSpaceDE w:val="0"/>
        <w:autoSpaceDN w:val="0"/>
        <w:adjustRightInd w:val="0"/>
        <w:rPr>
          <w:rFonts w:eastAsiaTheme="minorHAnsi"/>
          <w:szCs w:val="24"/>
        </w:rPr>
      </w:pPr>
      <w:r w:rsidRPr="00385FD7">
        <w:rPr>
          <w:rFonts w:eastAsiaTheme="minorHAnsi"/>
          <w:szCs w:val="24"/>
        </w:rPr>
        <w:t>Headache is a very common symptom following mTBI with estimates ranging</w:t>
      </w:r>
      <w:r w:rsidR="00D86B33" w:rsidRPr="00385FD7">
        <w:rPr>
          <w:rFonts w:eastAsiaTheme="minorHAnsi"/>
          <w:szCs w:val="24"/>
        </w:rPr>
        <w:t xml:space="preserve"> between 30-90% of patients who suffer from headaches. S</w:t>
      </w:r>
      <w:r w:rsidRPr="00385FD7">
        <w:rPr>
          <w:rFonts w:eastAsiaTheme="minorHAnsi"/>
          <w:szCs w:val="24"/>
        </w:rPr>
        <w:t>everal researcher</w:t>
      </w:r>
      <w:r w:rsidR="00D86B33" w:rsidRPr="00385FD7">
        <w:rPr>
          <w:rFonts w:eastAsiaTheme="minorHAnsi"/>
          <w:szCs w:val="24"/>
        </w:rPr>
        <w:t xml:space="preserve">s have noted that posttraumatic </w:t>
      </w:r>
      <w:r w:rsidRPr="00385FD7">
        <w:rPr>
          <w:rFonts w:eastAsiaTheme="minorHAnsi"/>
          <w:szCs w:val="24"/>
        </w:rPr>
        <w:t>headache is more common after mild TBI than after severe TBI</w:t>
      </w:r>
      <w:r w:rsidR="00D86B33" w:rsidRPr="00385FD7">
        <w:rPr>
          <w:rFonts w:eastAsiaTheme="minorHAnsi"/>
          <w:szCs w:val="24"/>
        </w:rPr>
        <w:t>.</w:t>
      </w:r>
    </w:p>
    <w:p w:rsidR="003D49C6" w:rsidRPr="0060369C" w:rsidRDefault="003D49C6" w:rsidP="0060369C">
      <w:pPr>
        <w:pStyle w:val="ListParagraph"/>
        <w:numPr>
          <w:ilvl w:val="0"/>
          <w:numId w:val="19"/>
        </w:numPr>
        <w:autoSpaceDE w:val="0"/>
        <w:autoSpaceDN w:val="0"/>
        <w:adjustRightInd w:val="0"/>
        <w:rPr>
          <w:rFonts w:eastAsiaTheme="minorHAnsi"/>
          <w:szCs w:val="24"/>
        </w:rPr>
      </w:pPr>
      <w:r w:rsidRPr="00385FD7">
        <w:rPr>
          <w:rFonts w:eastAsiaTheme="minorHAnsi"/>
          <w:szCs w:val="24"/>
        </w:rPr>
        <w:t>Investigators have reported post-traumatic headache symptoms resembling chronic</w:t>
      </w:r>
      <w:r w:rsidR="0060369C">
        <w:rPr>
          <w:rFonts w:eastAsiaTheme="minorHAnsi"/>
          <w:szCs w:val="24"/>
        </w:rPr>
        <w:t xml:space="preserve"> </w:t>
      </w:r>
      <w:r w:rsidRPr="0060369C">
        <w:rPr>
          <w:rFonts w:eastAsiaTheme="minorHAnsi"/>
          <w:szCs w:val="24"/>
        </w:rPr>
        <w:t>tension-type headache for most individuals but some investigators have found migraine to be the most common phenotype. Also headaches resembling chronic tension-type headache may coexist with episodic migraine or migraine headache.</w:t>
      </w:r>
    </w:p>
    <w:p w:rsidR="003D49C6" w:rsidRPr="00385FD7" w:rsidRDefault="003D5C6D" w:rsidP="003D5C6D">
      <w:pPr>
        <w:pStyle w:val="ListParagraph"/>
        <w:numPr>
          <w:ilvl w:val="0"/>
          <w:numId w:val="19"/>
        </w:numPr>
        <w:autoSpaceDE w:val="0"/>
        <w:autoSpaceDN w:val="0"/>
        <w:adjustRightInd w:val="0"/>
        <w:rPr>
          <w:rFonts w:eastAsiaTheme="minorHAnsi"/>
          <w:szCs w:val="24"/>
        </w:rPr>
      </w:pPr>
      <w:r w:rsidRPr="00385FD7">
        <w:rPr>
          <w:rFonts w:eastAsiaTheme="minorHAnsi"/>
          <w:szCs w:val="24"/>
        </w:rPr>
        <w:t>It is well known that too frequent use of analgesics/acute headache medications can, in some, exacerbate, perpetuate and chronify headaches via the phenomenon of medication overuse (“rebound”) headache</w:t>
      </w:r>
    </w:p>
    <w:p w:rsidR="0060369C" w:rsidRDefault="003A6F20" w:rsidP="003A6F20">
      <w:pPr>
        <w:pStyle w:val="ListParagraph"/>
        <w:numPr>
          <w:ilvl w:val="0"/>
          <w:numId w:val="19"/>
        </w:numPr>
        <w:autoSpaceDE w:val="0"/>
        <w:autoSpaceDN w:val="0"/>
        <w:adjustRightInd w:val="0"/>
        <w:rPr>
          <w:rFonts w:eastAsiaTheme="minorHAnsi"/>
          <w:szCs w:val="24"/>
        </w:rPr>
      </w:pPr>
      <w:r w:rsidRPr="00385FD7">
        <w:rPr>
          <w:rFonts w:eastAsiaTheme="minorHAnsi"/>
          <w:szCs w:val="24"/>
        </w:rPr>
        <w:t xml:space="preserve">Sleep disturbance is most common following mild TBI, not severe TBI. </w:t>
      </w:r>
    </w:p>
    <w:p w:rsidR="003D5C6D" w:rsidRPr="00385FD7" w:rsidRDefault="003A6F20" w:rsidP="003A6F20">
      <w:pPr>
        <w:pStyle w:val="ListParagraph"/>
        <w:numPr>
          <w:ilvl w:val="0"/>
          <w:numId w:val="19"/>
        </w:numPr>
        <w:autoSpaceDE w:val="0"/>
        <w:autoSpaceDN w:val="0"/>
        <w:adjustRightInd w:val="0"/>
        <w:rPr>
          <w:rFonts w:eastAsiaTheme="minorHAnsi"/>
          <w:szCs w:val="24"/>
        </w:rPr>
      </w:pPr>
      <w:r w:rsidRPr="00385FD7">
        <w:rPr>
          <w:rFonts w:eastAsiaTheme="minorHAnsi"/>
          <w:szCs w:val="24"/>
        </w:rPr>
        <w:lastRenderedPageBreak/>
        <w:t>Insomnia is the most common form of sleep disturbance following TBI characterized by problems with sleep initiation and/or sleep maintenance</w:t>
      </w:r>
      <w:r w:rsidR="003D0C1C" w:rsidRPr="00385FD7">
        <w:rPr>
          <w:rFonts w:eastAsiaTheme="minorHAnsi"/>
          <w:szCs w:val="24"/>
        </w:rPr>
        <w:t>.</w:t>
      </w:r>
    </w:p>
    <w:p w:rsidR="003D0C1C" w:rsidRPr="00385FD7" w:rsidRDefault="003D0C1C" w:rsidP="003D0C1C">
      <w:pPr>
        <w:pStyle w:val="ListParagraph"/>
        <w:numPr>
          <w:ilvl w:val="0"/>
          <w:numId w:val="19"/>
        </w:numPr>
        <w:autoSpaceDE w:val="0"/>
        <w:autoSpaceDN w:val="0"/>
        <w:adjustRightInd w:val="0"/>
        <w:rPr>
          <w:rFonts w:eastAsiaTheme="minorHAnsi"/>
          <w:szCs w:val="24"/>
        </w:rPr>
      </w:pPr>
      <w:r w:rsidRPr="00385FD7">
        <w:rPr>
          <w:rFonts w:eastAsiaTheme="minorHAnsi"/>
          <w:szCs w:val="24"/>
        </w:rPr>
        <w:t>Early post-concussive symptoms following mTBI can include irritability, anxiety, emotional lability, depressed mood, and apathy. Thereafter</w:t>
      </w:r>
      <w:r w:rsidR="0060369C">
        <w:rPr>
          <w:rFonts w:eastAsiaTheme="minorHAnsi"/>
          <w:szCs w:val="24"/>
        </w:rPr>
        <w:t>,</w:t>
      </w:r>
      <w:r w:rsidRPr="00385FD7">
        <w:rPr>
          <w:rFonts w:eastAsiaTheme="minorHAnsi"/>
          <w:szCs w:val="24"/>
        </w:rPr>
        <w:t xml:space="preserve"> a significant proportion of individuals may develop persistent mental health disorders, with major depression and anxiety disorders observed most frequently.</w:t>
      </w:r>
    </w:p>
    <w:p w:rsidR="003D0C1C" w:rsidRPr="0060369C" w:rsidRDefault="003D0C1C" w:rsidP="003D0C1C">
      <w:pPr>
        <w:pStyle w:val="ListParagraph"/>
        <w:numPr>
          <w:ilvl w:val="0"/>
          <w:numId w:val="19"/>
        </w:numPr>
        <w:autoSpaceDE w:val="0"/>
        <w:autoSpaceDN w:val="0"/>
        <w:adjustRightInd w:val="0"/>
        <w:rPr>
          <w:rFonts w:eastAsiaTheme="minorHAnsi"/>
          <w:b/>
          <w:color w:val="1F497D" w:themeColor="text2"/>
          <w:szCs w:val="24"/>
        </w:rPr>
      </w:pPr>
      <w:r w:rsidRPr="00385FD7">
        <w:rPr>
          <w:rFonts w:eastAsiaTheme="minorHAnsi"/>
          <w:szCs w:val="24"/>
        </w:rPr>
        <w:t xml:space="preserve">Depressive disorders following TBI are commonly associated with increased irritability and are often comorbid with anxiety syndromes. The latter include generalized anxiety, panic attacks, phobic disorders, and posttraumatic stress disorder (PTSD). </w:t>
      </w:r>
      <w:r w:rsidRPr="0060369C">
        <w:rPr>
          <w:rFonts w:eastAsiaTheme="minorHAnsi"/>
          <w:b/>
          <w:color w:val="1F497D" w:themeColor="text2"/>
          <w:szCs w:val="24"/>
        </w:rPr>
        <w:t>These disorders comprise both new-onset conditions that develop de novo post-injury, as well as those reflecting an exacerbation of pre-injury conditions or vulnerabilities.</w:t>
      </w:r>
    </w:p>
    <w:p w:rsidR="0060369C" w:rsidRDefault="003D0C1C" w:rsidP="00F1384E">
      <w:pPr>
        <w:pStyle w:val="ListParagraph"/>
        <w:numPr>
          <w:ilvl w:val="0"/>
          <w:numId w:val="19"/>
        </w:numPr>
        <w:autoSpaceDE w:val="0"/>
        <w:autoSpaceDN w:val="0"/>
        <w:adjustRightInd w:val="0"/>
        <w:rPr>
          <w:rFonts w:eastAsiaTheme="minorHAnsi"/>
          <w:szCs w:val="24"/>
        </w:rPr>
      </w:pPr>
      <w:r w:rsidRPr="00385FD7">
        <w:rPr>
          <w:rFonts w:eastAsiaTheme="minorHAnsi"/>
          <w:szCs w:val="24"/>
        </w:rPr>
        <w:t>mTBI is associated with disruptions in cognitive skills that include difficulties with attention/concentration, speed of information processing, memory and aspects of executive cognitive skills</w:t>
      </w:r>
      <w:r w:rsidR="00F1384E" w:rsidRPr="00385FD7">
        <w:rPr>
          <w:rFonts w:eastAsiaTheme="minorHAnsi"/>
          <w:szCs w:val="24"/>
        </w:rPr>
        <w:t xml:space="preserve">. </w:t>
      </w:r>
    </w:p>
    <w:p w:rsidR="003D0C1C" w:rsidRPr="00385FD7" w:rsidRDefault="005129CB" w:rsidP="00F1384E">
      <w:pPr>
        <w:pStyle w:val="ListParagraph"/>
        <w:numPr>
          <w:ilvl w:val="0"/>
          <w:numId w:val="19"/>
        </w:numPr>
        <w:autoSpaceDE w:val="0"/>
        <w:autoSpaceDN w:val="0"/>
        <w:adjustRightInd w:val="0"/>
        <w:rPr>
          <w:rFonts w:eastAsiaTheme="minorHAnsi"/>
          <w:szCs w:val="24"/>
        </w:rPr>
      </w:pPr>
      <w:r w:rsidRPr="00385FD7">
        <w:rPr>
          <w:rFonts w:eastAsiaTheme="minorHAnsi"/>
          <w:szCs w:val="24"/>
        </w:rPr>
        <w:t>Impairment of the vestibular system is a common problem experienced post mild TBI with compl</w:t>
      </w:r>
      <w:r w:rsidR="00F1384E" w:rsidRPr="00385FD7">
        <w:rPr>
          <w:rFonts w:eastAsiaTheme="minorHAnsi"/>
          <w:szCs w:val="24"/>
        </w:rPr>
        <w:t xml:space="preserve">aints ranging </w:t>
      </w:r>
      <w:r w:rsidRPr="00385FD7">
        <w:rPr>
          <w:rFonts w:eastAsiaTheme="minorHAnsi"/>
          <w:szCs w:val="24"/>
        </w:rPr>
        <w:t>from vertigo to problems with dizziness, balance, vision as well as mobility</w:t>
      </w:r>
      <w:r w:rsidR="00F1384E" w:rsidRPr="00385FD7">
        <w:rPr>
          <w:rFonts w:eastAsiaTheme="minorHAnsi"/>
          <w:szCs w:val="24"/>
        </w:rPr>
        <w:t xml:space="preserve">. Vestibular </w:t>
      </w:r>
      <w:r w:rsidRPr="00385FD7">
        <w:rPr>
          <w:rFonts w:eastAsiaTheme="minorHAnsi"/>
          <w:szCs w:val="24"/>
        </w:rPr>
        <w:t>deficits can be of peripheral origin where the inner ear is affected or can also be of central/ brain origin.</w:t>
      </w:r>
    </w:p>
    <w:p w:rsidR="00F1384E" w:rsidRPr="00385FD7" w:rsidRDefault="00F8197E" w:rsidP="00F1384E">
      <w:pPr>
        <w:pStyle w:val="ListParagraph"/>
        <w:numPr>
          <w:ilvl w:val="0"/>
          <w:numId w:val="19"/>
        </w:numPr>
        <w:autoSpaceDE w:val="0"/>
        <w:autoSpaceDN w:val="0"/>
        <w:adjustRightInd w:val="0"/>
        <w:rPr>
          <w:rFonts w:eastAsiaTheme="minorHAnsi"/>
          <w:szCs w:val="24"/>
        </w:rPr>
      </w:pPr>
      <w:r>
        <w:rPr>
          <w:rFonts w:eastAsiaTheme="minorHAnsi"/>
          <w:szCs w:val="24"/>
        </w:rPr>
        <w:t xml:space="preserve">Benign </w:t>
      </w:r>
      <w:r w:rsidR="00F1384E" w:rsidRPr="00385FD7">
        <w:rPr>
          <w:rFonts w:eastAsiaTheme="minorHAnsi"/>
          <w:szCs w:val="24"/>
        </w:rPr>
        <w:t>Paroxysmal Positional Vertigo (BPPV) is a specific common cause of balance impairment where patients experience vertigo and often nausea with sudden movements or changes in position such as rolling over in bed or looking up.</w:t>
      </w:r>
    </w:p>
    <w:p w:rsidR="00F1384E" w:rsidRPr="00385FD7" w:rsidRDefault="00BB20C2" w:rsidP="00BB20C2">
      <w:pPr>
        <w:pStyle w:val="ListParagraph"/>
        <w:numPr>
          <w:ilvl w:val="0"/>
          <w:numId w:val="19"/>
        </w:numPr>
        <w:autoSpaceDE w:val="0"/>
        <w:autoSpaceDN w:val="0"/>
        <w:adjustRightInd w:val="0"/>
        <w:rPr>
          <w:rFonts w:eastAsiaTheme="minorHAnsi"/>
          <w:szCs w:val="24"/>
        </w:rPr>
      </w:pPr>
      <w:r w:rsidRPr="00385FD7">
        <w:rPr>
          <w:rFonts w:eastAsiaTheme="minorHAnsi"/>
          <w:szCs w:val="24"/>
        </w:rPr>
        <w:t>The types of vision disorders that people who have sustained mTBI may experience range from ambient vision disturbances to diplopia, inability to visually fixate, poor convergence, scanning deficits, poor visual acuity, accommodative dysfunction, oculomotor dysfunction, and photosensitivity</w:t>
      </w:r>
      <w:r w:rsidR="00CB0AEB" w:rsidRPr="00385FD7">
        <w:rPr>
          <w:rFonts w:eastAsiaTheme="minorHAnsi"/>
          <w:szCs w:val="24"/>
        </w:rPr>
        <w:t>.</w:t>
      </w:r>
    </w:p>
    <w:p w:rsidR="00CB0AEB" w:rsidRPr="00385FD7" w:rsidRDefault="00CB0AEB" w:rsidP="00CB0AEB">
      <w:pPr>
        <w:pStyle w:val="ListParagraph"/>
        <w:numPr>
          <w:ilvl w:val="0"/>
          <w:numId w:val="19"/>
        </w:numPr>
        <w:autoSpaceDE w:val="0"/>
        <w:autoSpaceDN w:val="0"/>
        <w:adjustRightInd w:val="0"/>
        <w:rPr>
          <w:rFonts w:eastAsiaTheme="minorHAnsi"/>
          <w:szCs w:val="24"/>
        </w:rPr>
      </w:pPr>
      <w:r w:rsidRPr="00385FD7">
        <w:rPr>
          <w:rFonts w:eastAsiaTheme="minorHAnsi"/>
          <w:szCs w:val="24"/>
        </w:rPr>
        <w:t>Fatigue is one of the most pervasive symptoms following TBI and it can actually be out of proportion to exertion or may even occur without any exertion. Fatigue is multidimensional and can affect physical, cognitive, and subjective aspects. Fatigue following TBI has been found to significantly impact well-being and quality of life.</w:t>
      </w:r>
    </w:p>
    <w:p w:rsidR="00BE4B4B" w:rsidRPr="00385FD7" w:rsidRDefault="00BE4B4B" w:rsidP="00BE4B4B">
      <w:pPr>
        <w:autoSpaceDE w:val="0"/>
        <w:autoSpaceDN w:val="0"/>
        <w:adjustRightInd w:val="0"/>
        <w:rPr>
          <w:rFonts w:eastAsiaTheme="minorHAnsi"/>
          <w:szCs w:val="24"/>
        </w:rPr>
      </w:pPr>
    </w:p>
    <w:p w:rsidR="00BE4B4B" w:rsidRPr="00385FD7" w:rsidRDefault="003B2D5A" w:rsidP="00BE4B4B">
      <w:pPr>
        <w:autoSpaceDE w:val="0"/>
        <w:autoSpaceDN w:val="0"/>
        <w:adjustRightInd w:val="0"/>
        <w:rPr>
          <w:rFonts w:eastAsiaTheme="minorHAnsi"/>
          <w:szCs w:val="24"/>
        </w:rPr>
      </w:pPr>
      <w:r w:rsidRPr="00385FD7">
        <w:rPr>
          <w:rFonts w:eastAsiaTheme="minorHAnsi"/>
          <w:szCs w:val="24"/>
        </w:rPr>
        <w:t>Obviously, this</w:t>
      </w:r>
      <w:r w:rsidR="00BE4B4B" w:rsidRPr="00385FD7">
        <w:rPr>
          <w:rFonts w:eastAsiaTheme="minorHAnsi"/>
          <w:szCs w:val="24"/>
        </w:rPr>
        <w:t xml:space="preserve"> </w:t>
      </w:r>
      <w:r w:rsidR="00F77197">
        <w:rPr>
          <w:rFonts w:eastAsiaTheme="minorHAnsi"/>
          <w:szCs w:val="24"/>
        </w:rPr>
        <w:t xml:space="preserve">“brief” </w:t>
      </w:r>
      <w:r w:rsidRPr="00385FD7">
        <w:rPr>
          <w:rFonts w:eastAsiaTheme="minorHAnsi"/>
          <w:szCs w:val="24"/>
        </w:rPr>
        <w:t xml:space="preserve"> </w:t>
      </w:r>
      <w:r w:rsidR="00BE4B4B" w:rsidRPr="00385FD7">
        <w:rPr>
          <w:rFonts w:eastAsiaTheme="minorHAnsi"/>
          <w:szCs w:val="24"/>
        </w:rPr>
        <w:t xml:space="preserve">newsletter summary of a 156 page document </w:t>
      </w:r>
      <w:r w:rsidRPr="00385FD7">
        <w:rPr>
          <w:rFonts w:eastAsiaTheme="minorHAnsi"/>
          <w:szCs w:val="24"/>
        </w:rPr>
        <w:t>can only highlight</w:t>
      </w:r>
      <w:r w:rsidR="00BE4B4B" w:rsidRPr="00385FD7">
        <w:rPr>
          <w:rFonts w:eastAsiaTheme="minorHAnsi"/>
          <w:szCs w:val="24"/>
        </w:rPr>
        <w:t xml:space="preserve"> </w:t>
      </w:r>
      <w:r w:rsidRPr="00385FD7">
        <w:rPr>
          <w:rFonts w:eastAsiaTheme="minorHAnsi"/>
          <w:szCs w:val="24"/>
        </w:rPr>
        <w:t xml:space="preserve">what I considered </w:t>
      </w:r>
      <w:r w:rsidR="00BE4B4B" w:rsidRPr="00385FD7">
        <w:rPr>
          <w:rFonts w:eastAsiaTheme="minorHAnsi"/>
          <w:szCs w:val="24"/>
        </w:rPr>
        <w:t>some very interesting points.</w:t>
      </w:r>
      <w:r w:rsidRPr="00385FD7">
        <w:rPr>
          <w:rFonts w:eastAsiaTheme="minorHAnsi"/>
          <w:szCs w:val="24"/>
        </w:rPr>
        <w:t xml:space="preserve"> For a more thorough </w:t>
      </w:r>
      <w:r w:rsidR="0060369C" w:rsidRPr="00385FD7">
        <w:rPr>
          <w:rFonts w:eastAsiaTheme="minorHAnsi"/>
          <w:szCs w:val="24"/>
        </w:rPr>
        <w:t>review I</w:t>
      </w:r>
      <w:r w:rsidR="00BE4B4B" w:rsidRPr="00385FD7">
        <w:rPr>
          <w:rFonts w:eastAsiaTheme="minorHAnsi"/>
          <w:szCs w:val="24"/>
        </w:rPr>
        <w:t xml:space="preserve"> would suggest downloading the entire document for your library and future reference by visiting this link </w:t>
      </w:r>
      <w:hyperlink r:id="rId10" w:history="1">
        <w:r w:rsidR="00BE4B4B" w:rsidRPr="00385FD7">
          <w:rPr>
            <w:rStyle w:val="Hyperlink"/>
            <w:rFonts w:eastAsiaTheme="minorHAnsi"/>
            <w:szCs w:val="24"/>
          </w:rPr>
          <w:t>https://bit.ly/1e2okvV</w:t>
        </w:r>
      </w:hyperlink>
      <w:r w:rsidR="00BE4B4B" w:rsidRPr="00385FD7">
        <w:rPr>
          <w:rFonts w:eastAsiaTheme="minorHAnsi"/>
          <w:szCs w:val="24"/>
        </w:rPr>
        <w:t xml:space="preserve"> </w:t>
      </w:r>
      <w:r w:rsidRPr="00385FD7">
        <w:rPr>
          <w:rFonts w:eastAsiaTheme="minorHAnsi"/>
          <w:szCs w:val="24"/>
        </w:rPr>
        <w:t xml:space="preserve"> and also download the revision document published a few years after the original </w:t>
      </w:r>
      <w:hyperlink r:id="rId11" w:history="1">
        <w:r w:rsidRPr="00385FD7">
          <w:rPr>
            <w:rStyle w:val="Hyperlink"/>
            <w:rFonts w:eastAsiaTheme="minorHAnsi"/>
            <w:szCs w:val="24"/>
          </w:rPr>
          <w:t>https://bit.ly/2GvuN2Y</w:t>
        </w:r>
      </w:hyperlink>
      <w:r w:rsidRPr="00385FD7">
        <w:rPr>
          <w:rFonts w:eastAsiaTheme="minorHAnsi"/>
          <w:szCs w:val="24"/>
        </w:rPr>
        <w:t xml:space="preserve"> .</w:t>
      </w:r>
    </w:p>
    <w:p w:rsidR="003B2D5A" w:rsidRPr="00385FD7" w:rsidRDefault="003B2D5A" w:rsidP="00BE4B4B">
      <w:pPr>
        <w:autoSpaceDE w:val="0"/>
        <w:autoSpaceDN w:val="0"/>
        <w:adjustRightInd w:val="0"/>
        <w:rPr>
          <w:rFonts w:eastAsiaTheme="minorHAnsi"/>
          <w:szCs w:val="24"/>
        </w:rPr>
      </w:pPr>
    </w:p>
    <w:p w:rsidR="003B2D5A" w:rsidRDefault="003B2D5A" w:rsidP="00BE4B4B">
      <w:pPr>
        <w:autoSpaceDE w:val="0"/>
        <w:autoSpaceDN w:val="0"/>
        <w:adjustRightInd w:val="0"/>
        <w:rPr>
          <w:rFonts w:eastAsiaTheme="minorHAnsi"/>
          <w:szCs w:val="24"/>
        </w:rPr>
      </w:pPr>
      <w:r w:rsidRPr="00385FD7">
        <w:rPr>
          <w:rFonts w:eastAsiaTheme="minorHAnsi"/>
          <w:szCs w:val="24"/>
        </w:rPr>
        <w:t>In future newsletters</w:t>
      </w:r>
      <w:r w:rsidR="00F8197E">
        <w:rPr>
          <w:rFonts w:eastAsiaTheme="minorHAnsi"/>
          <w:szCs w:val="24"/>
        </w:rPr>
        <w:t>,</w:t>
      </w:r>
      <w:r w:rsidRPr="00385FD7">
        <w:rPr>
          <w:rFonts w:eastAsiaTheme="minorHAnsi"/>
          <w:szCs w:val="24"/>
        </w:rPr>
        <w:t xml:space="preserve"> I will share some evolving technologies for </w:t>
      </w:r>
      <w:r w:rsidR="0060369C" w:rsidRPr="00385FD7">
        <w:rPr>
          <w:rFonts w:eastAsiaTheme="minorHAnsi"/>
          <w:szCs w:val="24"/>
        </w:rPr>
        <w:t>assessing concussion</w:t>
      </w:r>
      <w:r w:rsidRPr="00385FD7">
        <w:rPr>
          <w:rFonts w:eastAsiaTheme="minorHAnsi"/>
          <w:szCs w:val="24"/>
        </w:rPr>
        <w:t xml:space="preserve"> and measuring and monitoring the physiological and cognitive effects over time to demonstrate recovery</w:t>
      </w:r>
      <w:r w:rsidR="00F77197">
        <w:rPr>
          <w:rFonts w:eastAsiaTheme="minorHAnsi"/>
          <w:szCs w:val="24"/>
        </w:rPr>
        <w:t>, or lack thereof.</w:t>
      </w:r>
      <w:r w:rsidRPr="00385FD7">
        <w:rPr>
          <w:rFonts w:eastAsiaTheme="minorHAnsi"/>
          <w:szCs w:val="24"/>
        </w:rPr>
        <w:t xml:space="preserve">. My </w:t>
      </w:r>
      <w:r w:rsidR="00F2522A">
        <w:rPr>
          <w:rFonts w:eastAsiaTheme="minorHAnsi"/>
          <w:szCs w:val="24"/>
        </w:rPr>
        <w:t>practices have</w:t>
      </w:r>
      <w:r w:rsidRPr="00385FD7">
        <w:rPr>
          <w:rFonts w:eastAsiaTheme="minorHAnsi"/>
          <w:szCs w:val="24"/>
        </w:rPr>
        <w:t xml:space="preserve"> been receiving demo</w:t>
      </w:r>
      <w:r w:rsidR="00F2522A">
        <w:rPr>
          <w:rFonts w:eastAsiaTheme="minorHAnsi"/>
          <w:szCs w:val="24"/>
        </w:rPr>
        <w:t>s</w:t>
      </w:r>
      <w:r w:rsidRPr="00385FD7">
        <w:rPr>
          <w:rFonts w:eastAsiaTheme="minorHAnsi"/>
          <w:szCs w:val="24"/>
        </w:rPr>
        <w:t xml:space="preserve"> of some of these </w:t>
      </w:r>
      <w:r w:rsidRPr="00385FD7">
        <w:rPr>
          <w:rFonts w:eastAsiaTheme="minorHAnsi"/>
          <w:szCs w:val="24"/>
        </w:rPr>
        <w:lastRenderedPageBreak/>
        <w:t xml:space="preserve">technologies to see if we can implement them </w:t>
      </w:r>
      <w:r w:rsidR="0060369C">
        <w:rPr>
          <w:rFonts w:eastAsiaTheme="minorHAnsi"/>
          <w:szCs w:val="24"/>
        </w:rPr>
        <w:t>i</w:t>
      </w:r>
      <w:r w:rsidRPr="00385FD7">
        <w:rPr>
          <w:rFonts w:eastAsiaTheme="minorHAnsi"/>
          <w:szCs w:val="24"/>
        </w:rPr>
        <w:t>nto our practices as part of the routine assessments of patients with suspected concussion, mTBI and the related co-morbidities.</w:t>
      </w:r>
    </w:p>
    <w:p w:rsidR="0060369C" w:rsidRDefault="0060369C" w:rsidP="00BE4B4B">
      <w:pPr>
        <w:autoSpaceDE w:val="0"/>
        <w:autoSpaceDN w:val="0"/>
        <w:adjustRightInd w:val="0"/>
        <w:rPr>
          <w:rFonts w:eastAsiaTheme="minorHAnsi"/>
          <w:szCs w:val="24"/>
        </w:rPr>
      </w:pPr>
    </w:p>
    <w:p w:rsidR="0060369C" w:rsidRPr="00385FD7" w:rsidRDefault="0060369C" w:rsidP="00BE4B4B">
      <w:pPr>
        <w:autoSpaceDE w:val="0"/>
        <w:autoSpaceDN w:val="0"/>
        <w:adjustRightInd w:val="0"/>
        <w:rPr>
          <w:rFonts w:eastAsiaTheme="minorHAnsi"/>
          <w:szCs w:val="24"/>
        </w:rPr>
      </w:pPr>
      <w:r>
        <w:rPr>
          <w:rFonts w:eastAsiaTheme="minorHAnsi"/>
          <w:szCs w:val="24"/>
        </w:rPr>
        <w:t>Recently, I’ve also encountered some providers that have an interest in this area of medical legal work including a neuropsychologist and a neurologist. Both have been in conversation with me to accept likely mTBI patients on a</w:t>
      </w:r>
      <w:r w:rsidR="00BA52FD">
        <w:rPr>
          <w:rFonts w:eastAsiaTheme="minorHAnsi"/>
          <w:szCs w:val="24"/>
        </w:rPr>
        <w:t>n</w:t>
      </w:r>
      <w:r>
        <w:rPr>
          <w:rFonts w:eastAsiaTheme="minorHAnsi"/>
          <w:szCs w:val="24"/>
        </w:rPr>
        <w:t xml:space="preserve"> LOP. The neuropsychologist in particular has tentatively agreed that she will be able to perform a cursory (~2 hour) screening assessment for a very reasonable price before advancing to a full blown neuropsychological evaluation which, as we all have experienced, can range in cost between $4,000 and $10,000 only to find out that there is no significant abnormality related to the trauma.. That would be a very helpful assessment and save your clients/my patients unnecessary expense </w:t>
      </w:r>
    </w:p>
    <w:p w:rsidR="003B2D5A" w:rsidRPr="00385FD7" w:rsidRDefault="003B2D5A" w:rsidP="00BE4B4B">
      <w:pPr>
        <w:autoSpaceDE w:val="0"/>
        <w:autoSpaceDN w:val="0"/>
        <w:adjustRightInd w:val="0"/>
        <w:rPr>
          <w:rFonts w:eastAsiaTheme="minorHAnsi"/>
          <w:szCs w:val="24"/>
        </w:rPr>
      </w:pPr>
    </w:p>
    <w:p w:rsidR="003B2D5A" w:rsidRPr="00385FD7" w:rsidRDefault="003B2D5A" w:rsidP="00BE4B4B">
      <w:pPr>
        <w:autoSpaceDE w:val="0"/>
        <w:autoSpaceDN w:val="0"/>
        <w:adjustRightInd w:val="0"/>
        <w:rPr>
          <w:rFonts w:eastAsiaTheme="minorHAnsi"/>
          <w:szCs w:val="24"/>
        </w:rPr>
      </w:pPr>
      <w:r w:rsidRPr="00385FD7">
        <w:rPr>
          <w:rFonts w:eastAsiaTheme="minorHAnsi"/>
          <w:szCs w:val="24"/>
        </w:rPr>
        <w:t xml:space="preserve">Please let me know if you find this topic of interest by dropping me an email at </w:t>
      </w:r>
      <w:hyperlink r:id="rId12" w:history="1">
        <w:r w:rsidRPr="00385FD7">
          <w:rPr>
            <w:rStyle w:val="Hyperlink"/>
            <w:rFonts w:eastAsiaTheme="minorHAnsi"/>
            <w:szCs w:val="24"/>
          </w:rPr>
          <w:t>Dr.Shaw@ShawChiropractic.com</w:t>
        </w:r>
      </w:hyperlink>
      <w:r w:rsidRPr="00385FD7">
        <w:rPr>
          <w:rFonts w:eastAsiaTheme="minorHAnsi"/>
          <w:szCs w:val="24"/>
        </w:rPr>
        <w:t xml:space="preserve"> </w:t>
      </w:r>
    </w:p>
    <w:sectPr w:rsidR="003B2D5A" w:rsidRPr="00385FD7" w:rsidSect="00AF7111">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1F" w:rsidRDefault="00A60F1F" w:rsidP="000D2081">
      <w:r>
        <w:separator/>
      </w:r>
    </w:p>
  </w:endnote>
  <w:endnote w:type="continuationSeparator" w:id="0">
    <w:p w:rsidR="00A60F1F" w:rsidRDefault="00A60F1F"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1F" w:rsidRDefault="00A60F1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21E95A01" wp14:editId="102E8C4B">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A60F1F" w:rsidRPr="00AC28FF" w:rsidRDefault="00A60F1F"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 </w:t>
    </w:r>
    <w:r w:rsidRPr="00AC28FF">
      <w:rPr>
        <w:color w:val="595959" w:themeColor="text1" w:themeTint="A6"/>
        <w:sz w:val="36"/>
        <w:szCs w:val="36"/>
      </w:rPr>
      <w:t>●</w:t>
    </w:r>
    <w:r>
      <w:rPr>
        <w:color w:val="595959" w:themeColor="text1" w:themeTint="A6"/>
        <w:sz w:val="36"/>
        <w:szCs w:val="36"/>
      </w:rPr>
      <w:t>Bloomfield</w:t>
    </w:r>
  </w:p>
  <w:p w:rsidR="00A60F1F" w:rsidRPr="00AC28FF" w:rsidRDefault="00A60F1F"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60F1F" w:rsidRPr="00AC28FF" w:rsidRDefault="00A60F1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1F" w:rsidRDefault="00A60F1F" w:rsidP="000D2081">
      <w:r>
        <w:separator/>
      </w:r>
    </w:p>
  </w:footnote>
  <w:footnote w:type="continuationSeparator" w:id="0">
    <w:p w:rsidR="00A60F1F" w:rsidRDefault="00A60F1F"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1F" w:rsidRDefault="00A60F1F"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1C542FE" wp14:editId="57A7BBF3">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F1F" w:rsidRDefault="00A60F1F" w:rsidP="000D2081">
    <w:pPr>
      <w:ind w:left="-810" w:right="-990"/>
      <w:jc w:val="center"/>
      <w:rPr>
        <w:b/>
        <w:color w:val="FF0000"/>
        <w:sz w:val="18"/>
        <w:szCs w:val="18"/>
      </w:rPr>
    </w:pPr>
  </w:p>
  <w:p w:rsidR="00A60F1F" w:rsidRDefault="00A60F1F" w:rsidP="000D2081">
    <w:pPr>
      <w:ind w:left="-810" w:right="-990"/>
      <w:jc w:val="center"/>
      <w:rPr>
        <w:b/>
        <w:color w:val="FF0000"/>
        <w:sz w:val="18"/>
        <w:szCs w:val="18"/>
      </w:rPr>
    </w:pPr>
  </w:p>
  <w:p w:rsidR="00A60F1F" w:rsidRDefault="00A60F1F" w:rsidP="000D2081">
    <w:pPr>
      <w:ind w:left="-810" w:right="-990"/>
      <w:jc w:val="center"/>
      <w:rPr>
        <w:b/>
        <w:color w:val="FF0000"/>
        <w:sz w:val="18"/>
        <w:szCs w:val="18"/>
      </w:rPr>
    </w:pPr>
  </w:p>
  <w:p w:rsidR="00A60F1F" w:rsidRDefault="00A60F1F" w:rsidP="00AF7111">
    <w:pPr>
      <w:tabs>
        <w:tab w:val="left" w:pos="1170"/>
      </w:tabs>
      <w:ind w:left="-810" w:right="-990"/>
      <w:rPr>
        <w:b/>
        <w:color w:val="FF0000"/>
        <w:sz w:val="18"/>
        <w:szCs w:val="18"/>
      </w:rPr>
    </w:pPr>
    <w:r>
      <w:rPr>
        <w:b/>
        <w:color w:val="FF0000"/>
        <w:sz w:val="18"/>
        <w:szCs w:val="18"/>
      </w:rPr>
      <w:tab/>
    </w:r>
  </w:p>
  <w:p w:rsidR="00A60F1F" w:rsidRDefault="00A60F1F" w:rsidP="00AF7111">
    <w:pPr>
      <w:tabs>
        <w:tab w:val="left" w:pos="1170"/>
      </w:tabs>
      <w:ind w:left="-810" w:right="-990"/>
      <w:rPr>
        <w:b/>
        <w:color w:val="FF0000"/>
        <w:sz w:val="18"/>
        <w:szCs w:val="18"/>
      </w:rPr>
    </w:pPr>
  </w:p>
  <w:p w:rsidR="00A60F1F" w:rsidRDefault="00A60F1F" w:rsidP="000D2081">
    <w:pPr>
      <w:ind w:left="-810" w:right="-990"/>
      <w:jc w:val="center"/>
      <w:rPr>
        <w:b/>
        <w:color w:val="FF0000"/>
        <w:sz w:val="18"/>
        <w:szCs w:val="18"/>
      </w:rPr>
    </w:pPr>
  </w:p>
  <w:p w:rsidR="00A60F1F" w:rsidRDefault="00A60F1F"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58E24386" wp14:editId="7B455B3F">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A60F1F" w:rsidRPr="003A3862" w:rsidRDefault="00A60F1F"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A60F1F" w:rsidRDefault="00A60F1F"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2ECA6B7C" wp14:editId="268A4798">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E03"/>
    <w:multiLevelType w:val="multilevel"/>
    <w:tmpl w:val="C49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45811"/>
    <w:multiLevelType w:val="multilevel"/>
    <w:tmpl w:val="99FE3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F0DCE"/>
    <w:multiLevelType w:val="hybridMultilevel"/>
    <w:tmpl w:val="5F34B518"/>
    <w:lvl w:ilvl="0" w:tplc="6B5C203A">
      <w:numFmt w:val="bullet"/>
      <w:lvlText w:val="-"/>
      <w:lvlJc w:val="left"/>
      <w:pPr>
        <w:ind w:left="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C6EB8"/>
    <w:multiLevelType w:val="hybridMultilevel"/>
    <w:tmpl w:val="2FCADFA4"/>
    <w:lvl w:ilvl="0" w:tplc="719627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38FA177C"/>
    <w:multiLevelType w:val="hybridMultilevel"/>
    <w:tmpl w:val="2390ACAC"/>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435A2355"/>
    <w:multiLevelType w:val="multilevel"/>
    <w:tmpl w:val="369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53FC408E"/>
    <w:multiLevelType w:val="multilevel"/>
    <w:tmpl w:val="ABC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1C6B1E"/>
    <w:multiLevelType w:val="hybridMultilevel"/>
    <w:tmpl w:val="33A80EA6"/>
    <w:lvl w:ilvl="0" w:tplc="3D7AF930">
      <w:numFmt w:val="bullet"/>
      <w:lvlText w:val=""/>
      <w:lvlJc w:val="left"/>
      <w:pPr>
        <w:ind w:left="720" w:hanging="360"/>
      </w:pPr>
      <w:rPr>
        <w:rFonts w:ascii="Symbol" w:eastAsiaTheme="minorHAns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7E7D62FB"/>
    <w:multiLevelType w:val="hybridMultilevel"/>
    <w:tmpl w:val="D760FBEE"/>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2"/>
  </w:num>
  <w:num w:numId="2">
    <w:abstractNumId w:val="6"/>
  </w:num>
  <w:num w:numId="3">
    <w:abstractNumId w:val="4"/>
  </w:num>
  <w:num w:numId="4">
    <w:abstractNumId w:val="15"/>
  </w:num>
  <w:num w:numId="5">
    <w:abstractNumId w:val="10"/>
  </w:num>
  <w:num w:numId="6">
    <w:abstractNumId w:val="14"/>
  </w:num>
  <w:num w:numId="7">
    <w:abstractNumId w:val="3"/>
  </w:num>
  <w:num w:numId="8">
    <w:abstractNumId w:val="7"/>
  </w:num>
  <w:num w:numId="9">
    <w:abstractNumId w:val="17"/>
  </w:num>
  <w:num w:numId="10">
    <w:abstractNumId w:val="19"/>
  </w:num>
  <w:num w:numId="11">
    <w:abstractNumId w:val="11"/>
  </w:num>
  <w:num w:numId="12">
    <w:abstractNumId w:val="5"/>
  </w:num>
  <w:num w:numId="13">
    <w:abstractNumId w:val="0"/>
  </w:num>
  <w:num w:numId="14">
    <w:abstractNumId w:val="9"/>
  </w:num>
  <w:num w:numId="15">
    <w:abstractNumId w:val="13"/>
  </w:num>
  <w:num w:numId="16">
    <w:abstractNumId w:val="1"/>
  </w:num>
  <w:num w:numId="17">
    <w:abstractNumId w:val="18"/>
  </w:num>
  <w:num w:numId="18">
    <w:abstractNumId w:val="8"/>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F4A077-4F3B-4D4A-9455-021F7C52D752}"/>
    <w:docVar w:name="dgnword-eventsink" w:val="121453264"/>
  </w:docVars>
  <w:rsids>
    <w:rsidRoot w:val="0047636C"/>
    <w:rsid w:val="00000FBA"/>
    <w:rsid w:val="00004F1A"/>
    <w:rsid w:val="00010CE1"/>
    <w:rsid w:val="0001602A"/>
    <w:rsid w:val="0002476D"/>
    <w:rsid w:val="00027087"/>
    <w:rsid w:val="00031BFD"/>
    <w:rsid w:val="000324D5"/>
    <w:rsid w:val="00033AE2"/>
    <w:rsid w:val="0004360C"/>
    <w:rsid w:val="0005044D"/>
    <w:rsid w:val="00060EF8"/>
    <w:rsid w:val="00066A0E"/>
    <w:rsid w:val="000715EC"/>
    <w:rsid w:val="00076D27"/>
    <w:rsid w:val="0007758F"/>
    <w:rsid w:val="000821EC"/>
    <w:rsid w:val="000843DE"/>
    <w:rsid w:val="00093B21"/>
    <w:rsid w:val="000A1DB4"/>
    <w:rsid w:val="000A2641"/>
    <w:rsid w:val="000A4C94"/>
    <w:rsid w:val="000A6D89"/>
    <w:rsid w:val="000B2575"/>
    <w:rsid w:val="000B7489"/>
    <w:rsid w:val="000C76E8"/>
    <w:rsid w:val="000D0BB1"/>
    <w:rsid w:val="000D1804"/>
    <w:rsid w:val="000D2081"/>
    <w:rsid w:val="000D6617"/>
    <w:rsid w:val="00102D6B"/>
    <w:rsid w:val="00115B80"/>
    <w:rsid w:val="00120558"/>
    <w:rsid w:val="00124B05"/>
    <w:rsid w:val="00127C3F"/>
    <w:rsid w:val="00135ACB"/>
    <w:rsid w:val="00140153"/>
    <w:rsid w:val="00143877"/>
    <w:rsid w:val="00147B16"/>
    <w:rsid w:val="00160195"/>
    <w:rsid w:val="001617B4"/>
    <w:rsid w:val="00162390"/>
    <w:rsid w:val="001708BE"/>
    <w:rsid w:val="00172683"/>
    <w:rsid w:val="00174267"/>
    <w:rsid w:val="00174648"/>
    <w:rsid w:val="001752CA"/>
    <w:rsid w:val="00177D00"/>
    <w:rsid w:val="00180BC1"/>
    <w:rsid w:val="001900A6"/>
    <w:rsid w:val="00192B63"/>
    <w:rsid w:val="001A0268"/>
    <w:rsid w:val="001A1D5D"/>
    <w:rsid w:val="001A30B0"/>
    <w:rsid w:val="001B2696"/>
    <w:rsid w:val="001B7580"/>
    <w:rsid w:val="001C1582"/>
    <w:rsid w:val="001C499F"/>
    <w:rsid w:val="001D268A"/>
    <w:rsid w:val="001D55A5"/>
    <w:rsid w:val="001D6E23"/>
    <w:rsid w:val="001E7044"/>
    <w:rsid w:val="002029D5"/>
    <w:rsid w:val="002030D6"/>
    <w:rsid w:val="00204E1E"/>
    <w:rsid w:val="00205220"/>
    <w:rsid w:val="00220A43"/>
    <w:rsid w:val="0023207E"/>
    <w:rsid w:val="00235FC8"/>
    <w:rsid w:val="0024470B"/>
    <w:rsid w:val="002607EA"/>
    <w:rsid w:val="00260C5C"/>
    <w:rsid w:val="0027555D"/>
    <w:rsid w:val="00276330"/>
    <w:rsid w:val="002844B3"/>
    <w:rsid w:val="00291A05"/>
    <w:rsid w:val="00292FAF"/>
    <w:rsid w:val="002A07E5"/>
    <w:rsid w:val="002A2D1E"/>
    <w:rsid w:val="002B2252"/>
    <w:rsid w:val="002B4260"/>
    <w:rsid w:val="002D2E50"/>
    <w:rsid w:val="002D4E8A"/>
    <w:rsid w:val="002D56A9"/>
    <w:rsid w:val="002E6C0A"/>
    <w:rsid w:val="00312649"/>
    <w:rsid w:val="003138E1"/>
    <w:rsid w:val="00315D5D"/>
    <w:rsid w:val="00316B54"/>
    <w:rsid w:val="00321003"/>
    <w:rsid w:val="003309A7"/>
    <w:rsid w:val="00330A4B"/>
    <w:rsid w:val="00332BA1"/>
    <w:rsid w:val="003349DB"/>
    <w:rsid w:val="00335212"/>
    <w:rsid w:val="00340101"/>
    <w:rsid w:val="00350BFF"/>
    <w:rsid w:val="003540F9"/>
    <w:rsid w:val="003573CF"/>
    <w:rsid w:val="003622D5"/>
    <w:rsid w:val="0036352A"/>
    <w:rsid w:val="003702C8"/>
    <w:rsid w:val="00371043"/>
    <w:rsid w:val="00375AFB"/>
    <w:rsid w:val="0037710B"/>
    <w:rsid w:val="003820D9"/>
    <w:rsid w:val="00385FD7"/>
    <w:rsid w:val="003921F6"/>
    <w:rsid w:val="0039255D"/>
    <w:rsid w:val="00396EBD"/>
    <w:rsid w:val="003A0F6B"/>
    <w:rsid w:val="003A14BB"/>
    <w:rsid w:val="003A6F20"/>
    <w:rsid w:val="003B2D5A"/>
    <w:rsid w:val="003B4CF4"/>
    <w:rsid w:val="003B5336"/>
    <w:rsid w:val="003B73AB"/>
    <w:rsid w:val="003C134B"/>
    <w:rsid w:val="003D0C1C"/>
    <w:rsid w:val="003D49C6"/>
    <w:rsid w:val="003D5C6D"/>
    <w:rsid w:val="003E3451"/>
    <w:rsid w:val="003E7121"/>
    <w:rsid w:val="003F7537"/>
    <w:rsid w:val="00402C71"/>
    <w:rsid w:val="00415A27"/>
    <w:rsid w:val="00415B7A"/>
    <w:rsid w:val="00426820"/>
    <w:rsid w:val="004335ED"/>
    <w:rsid w:val="00435535"/>
    <w:rsid w:val="004423E9"/>
    <w:rsid w:val="004505DC"/>
    <w:rsid w:val="004632E5"/>
    <w:rsid w:val="00464443"/>
    <w:rsid w:val="00464A7F"/>
    <w:rsid w:val="0046539B"/>
    <w:rsid w:val="0047636C"/>
    <w:rsid w:val="0048217F"/>
    <w:rsid w:val="0048567E"/>
    <w:rsid w:val="00492B9B"/>
    <w:rsid w:val="004A3747"/>
    <w:rsid w:val="004B4B62"/>
    <w:rsid w:val="004C7693"/>
    <w:rsid w:val="004D1C2D"/>
    <w:rsid w:val="004D47FF"/>
    <w:rsid w:val="004E0A00"/>
    <w:rsid w:val="004E6159"/>
    <w:rsid w:val="004E78CD"/>
    <w:rsid w:val="004F24D4"/>
    <w:rsid w:val="004F31C8"/>
    <w:rsid w:val="004F77F4"/>
    <w:rsid w:val="005000B4"/>
    <w:rsid w:val="0050162E"/>
    <w:rsid w:val="00507DA1"/>
    <w:rsid w:val="005129CB"/>
    <w:rsid w:val="00513D73"/>
    <w:rsid w:val="0052471A"/>
    <w:rsid w:val="00530B01"/>
    <w:rsid w:val="00533F92"/>
    <w:rsid w:val="00537265"/>
    <w:rsid w:val="00545813"/>
    <w:rsid w:val="005549E8"/>
    <w:rsid w:val="0056517F"/>
    <w:rsid w:val="00566AF6"/>
    <w:rsid w:val="00567B8A"/>
    <w:rsid w:val="00575A4F"/>
    <w:rsid w:val="00586F9E"/>
    <w:rsid w:val="00587D34"/>
    <w:rsid w:val="00592D7B"/>
    <w:rsid w:val="005B6426"/>
    <w:rsid w:val="005C2E30"/>
    <w:rsid w:val="005D4816"/>
    <w:rsid w:val="005D5F01"/>
    <w:rsid w:val="005E1B61"/>
    <w:rsid w:val="005E2F34"/>
    <w:rsid w:val="005E40B5"/>
    <w:rsid w:val="005F081F"/>
    <w:rsid w:val="005F4A5D"/>
    <w:rsid w:val="005F7C44"/>
    <w:rsid w:val="00602BB9"/>
    <w:rsid w:val="0060369C"/>
    <w:rsid w:val="00612179"/>
    <w:rsid w:val="00615094"/>
    <w:rsid w:val="00620587"/>
    <w:rsid w:val="00624A66"/>
    <w:rsid w:val="00642E78"/>
    <w:rsid w:val="00654395"/>
    <w:rsid w:val="00654515"/>
    <w:rsid w:val="00655317"/>
    <w:rsid w:val="00656D8E"/>
    <w:rsid w:val="00657477"/>
    <w:rsid w:val="00666F47"/>
    <w:rsid w:val="006677A2"/>
    <w:rsid w:val="006760B5"/>
    <w:rsid w:val="00681408"/>
    <w:rsid w:val="0068280A"/>
    <w:rsid w:val="006A0A25"/>
    <w:rsid w:val="006A2B2D"/>
    <w:rsid w:val="006A309E"/>
    <w:rsid w:val="006B2217"/>
    <w:rsid w:val="006B2471"/>
    <w:rsid w:val="006B65A2"/>
    <w:rsid w:val="006B7321"/>
    <w:rsid w:val="006C10B0"/>
    <w:rsid w:val="006C4A59"/>
    <w:rsid w:val="006E0871"/>
    <w:rsid w:val="006E2001"/>
    <w:rsid w:val="006E2BB4"/>
    <w:rsid w:val="006E2FF6"/>
    <w:rsid w:val="006F2375"/>
    <w:rsid w:val="006F5B8F"/>
    <w:rsid w:val="006F6239"/>
    <w:rsid w:val="00701EFF"/>
    <w:rsid w:val="00713AB0"/>
    <w:rsid w:val="00720C09"/>
    <w:rsid w:val="00725C86"/>
    <w:rsid w:val="00735C3B"/>
    <w:rsid w:val="007407A5"/>
    <w:rsid w:val="00743ED4"/>
    <w:rsid w:val="00774826"/>
    <w:rsid w:val="00780E8F"/>
    <w:rsid w:val="00783304"/>
    <w:rsid w:val="0079339E"/>
    <w:rsid w:val="0079475C"/>
    <w:rsid w:val="00794918"/>
    <w:rsid w:val="007A60D0"/>
    <w:rsid w:val="007B2D4F"/>
    <w:rsid w:val="007D07D0"/>
    <w:rsid w:val="007E050F"/>
    <w:rsid w:val="007E78AD"/>
    <w:rsid w:val="007F4EF5"/>
    <w:rsid w:val="007F5498"/>
    <w:rsid w:val="007F5590"/>
    <w:rsid w:val="007F6ACE"/>
    <w:rsid w:val="00801BEE"/>
    <w:rsid w:val="00813C1B"/>
    <w:rsid w:val="00830051"/>
    <w:rsid w:val="00831800"/>
    <w:rsid w:val="00834519"/>
    <w:rsid w:val="008356A3"/>
    <w:rsid w:val="008378B5"/>
    <w:rsid w:val="00837CB2"/>
    <w:rsid w:val="0084154D"/>
    <w:rsid w:val="008445AA"/>
    <w:rsid w:val="008458A9"/>
    <w:rsid w:val="00847C06"/>
    <w:rsid w:val="0085492D"/>
    <w:rsid w:val="0086045B"/>
    <w:rsid w:val="00861676"/>
    <w:rsid w:val="00870564"/>
    <w:rsid w:val="00873547"/>
    <w:rsid w:val="008767E1"/>
    <w:rsid w:val="00882964"/>
    <w:rsid w:val="0088566D"/>
    <w:rsid w:val="00885CFC"/>
    <w:rsid w:val="00890E0A"/>
    <w:rsid w:val="00894336"/>
    <w:rsid w:val="00896D67"/>
    <w:rsid w:val="00897F7F"/>
    <w:rsid w:val="008A03DD"/>
    <w:rsid w:val="008A14A4"/>
    <w:rsid w:val="008B4146"/>
    <w:rsid w:val="008C61AB"/>
    <w:rsid w:val="008C7054"/>
    <w:rsid w:val="008D126A"/>
    <w:rsid w:val="008D35CF"/>
    <w:rsid w:val="008E16A7"/>
    <w:rsid w:val="008E6456"/>
    <w:rsid w:val="008E7B86"/>
    <w:rsid w:val="008F10F9"/>
    <w:rsid w:val="008F73A7"/>
    <w:rsid w:val="0090376E"/>
    <w:rsid w:val="00912122"/>
    <w:rsid w:val="00917973"/>
    <w:rsid w:val="00927E0D"/>
    <w:rsid w:val="0094061B"/>
    <w:rsid w:val="00942C84"/>
    <w:rsid w:val="00943561"/>
    <w:rsid w:val="009543F1"/>
    <w:rsid w:val="00964C9F"/>
    <w:rsid w:val="009669D4"/>
    <w:rsid w:val="009726EE"/>
    <w:rsid w:val="0097394E"/>
    <w:rsid w:val="00974D7E"/>
    <w:rsid w:val="009800F0"/>
    <w:rsid w:val="00980109"/>
    <w:rsid w:val="009907B9"/>
    <w:rsid w:val="009932F2"/>
    <w:rsid w:val="00996157"/>
    <w:rsid w:val="009A43C8"/>
    <w:rsid w:val="009B5E32"/>
    <w:rsid w:val="009D2330"/>
    <w:rsid w:val="009D4BB2"/>
    <w:rsid w:val="009D54E0"/>
    <w:rsid w:val="009E087E"/>
    <w:rsid w:val="009E455C"/>
    <w:rsid w:val="009E5516"/>
    <w:rsid w:val="009F024C"/>
    <w:rsid w:val="00A05D69"/>
    <w:rsid w:val="00A10D52"/>
    <w:rsid w:val="00A174FB"/>
    <w:rsid w:val="00A20C0B"/>
    <w:rsid w:val="00A23BAC"/>
    <w:rsid w:val="00A25DD7"/>
    <w:rsid w:val="00A30626"/>
    <w:rsid w:val="00A34FA3"/>
    <w:rsid w:val="00A370BC"/>
    <w:rsid w:val="00A60F1F"/>
    <w:rsid w:val="00A629BE"/>
    <w:rsid w:val="00A630AE"/>
    <w:rsid w:val="00A64E6A"/>
    <w:rsid w:val="00A75B42"/>
    <w:rsid w:val="00A76D3E"/>
    <w:rsid w:val="00A82119"/>
    <w:rsid w:val="00A85A4A"/>
    <w:rsid w:val="00AA6682"/>
    <w:rsid w:val="00AC192B"/>
    <w:rsid w:val="00AC28FF"/>
    <w:rsid w:val="00AC54F4"/>
    <w:rsid w:val="00AD0369"/>
    <w:rsid w:val="00AD6066"/>
    <w:rsid w:val="00AE29F4"/>
    <w:rsid w:val="00AE36E3"/>
    <w:rsid w:val="00AF0730"/>
    <w:rsid w:val="00AF1A5A"/>
    <w:rsid w:val="00AF33D7"/>
    <w:rsid w:val="00AF60BA"/>
    <w:rsid w:val="00AF7111"/>
    <w:rsid w:val="00B030F3"/>
    <w:rsid w:val="00B10E5A"/>
    <w:rsid w:val="00B2431D"/>
    <w:rsid w:val="00B46792"/>
    <w:rsid w:val="00B5023D"/>
    <w:rsid w:val="00B5088E"/>
    <w:rsid w:val="00B50C55"/>
    <w:rsid w:val="00B5310E"/>
    <w:rsid w:val="00B5319F"/>
    <w:rsid w:val="00B542B4"/>
    <w:rsid w:val="00B552AD"/>
    <w:rsid w:val="00B5740F"/>
    <w:rsid w:val="00B57F59"/>
    <w:rsid w:val="00B60AFD"/>
    <w:rsid w:val="00B61D8E"/>
    <w:rsid w:val="00B661B6"/>
    <w:rsid w:val="00B81D42"/>
    <w:rsid w:val="00B9004F"/>
    <w:rsid w:val="00B9346A"/>
    <w:rsid w:val="00B95399"/>
    <w:rsid w:val="00BA264B"/>
    <w:rsid w:val="00BA52FD"/>
    <w:rsid w:val="00BB14C6"/>
    <w:rsid w:val="00BB20C2"/>
    <w:rsid w:val="00BB7B07"/>
    <w:rsid w:val="00BD7D03"/>
    <w:rsid w:val="00BE0B7C"/>
    <w:rsid w:val="00BE4B4B"/>
    <w:rsid w:val="00BF0717"/>
    <w:rsid w:val="00BF38DD"/>
    <w:rsid w:val="00BF3C42"/>
    <w:rsid w:val="00BF4428"/>
    <w:rsid w:val="00C052A7"/>
    <w:rsid w:val="00C13680"/>
    <w:rsid w:val="00C13A19"/>
    <w:rsid w:val="00C16B05"/>
    <w:rsid w:val="00C25F44"/>
    <w:rsid w:val="00C33075"/>
    <w:rsid w:val="00C374C5"/>
    <w:rsid w:val="00C37876"/>
    <w:rsid w:val="00C40150"/>
    <w:rsid w:val="00C43F73"/>
    <w:rsid w:val="00C44D22"/>
    <w:rsid w:val="00C543AD"/>
    <w:rsid w:val="00C563AD"/>
    <w:rsid w:val="00C57799"/>
    <w:rsid w:val="00C60875"/>
    <w:rsid w:val="00C614CA"/>
    <w:rsid w:val="00C6571E"/>
    <w:rsid w:val="00C70B7A"/>
    <w:rsid w:val="00C72648"/>
    <w:rsid w:val="00C8540F"/>
    <w:rsid w:val="00C8554D"/>
    <w:rsid w:val="00C91BD4"/>
    <w:rsid w:val="00CB0AEB"/>
    <w:rsid w:val="00CC57BF"/>
    <w:rsid w:val="00CC75B6"/>
    <w:rsid w:val="00CD1A1E"/>
    <w:rsid w:val="00CD2EE9"/>
    <w:rsid w:val="00CE00A6"/>
    <w:rsid w:val="00CE24A7"/>
    <w:rsid w:val="00CE747C"/>
    <w:rsid w:val="00CF28CE"/>
    <w:rsid w:val="00CF5CF7"/>
    <w:rsid w:val="00CF6EBD"/>
    <w:rsid w:val="00D0270B"/>
    <w:rsid w:val="00D0627F"/>
    <w:rsid w:val="00D06A13"/>
    <w:rsid w:val="00D11D26"/>
    <w:rsid w:val="00D12E9F"/>
    <w:rsid w:val="00D1728E"/>
    <w:rsid w:val="00D269D7"/>
    <w:rsid w:val="00D26B8A"/>
    <w:rsid w:val="00D27388"/>
    <w:rsid w:val="00D34E4D"/>
    <w:rsid w:val="00D475D8"/>
    <w:rsid w:val="00D51660"/>
    <w:rsid w:val="00D65410"/>
    <w:rsid w:val="00D7009A"/>
    <w:rsid w:val="00D72CD8"/>
    <w:rsid w:val="00D73800"/>
    <w:rsid w:val="00D750F5"/>
    <w:rsid w:val="00D75D91"/>
    <w:rsid w:val="00D7601A"/>
    <w:rsid w:val="00D85C83"/>
    <w:rsid w:val="00D86B33"/>
    <w:rsid w:val="00D96979"/>
    <w:rsid w:val="00DA33CE"/>
    <w:rsid w:val="00DB3967"/>
    <w:rsid w:val="00DC22F8"/>
    <w:rsid w:val="00DC28CF"/>
    <w:rsid w:val="00DC2F70"/>
    <w:rsid w:val="00DD0087"/>
    <w:rsid w:val="00DE6B95"/>
    <w:rsid w:val="00DF4CE4"/>
    <w:rsid w:val="00E01540"/>
    <w:rsid w:val="00E03FEC"/>
    <w:rsid w:val="00E23716"/>
    <w:rsid w:val="00E23FA4"/>
    <w:rsid w:val="00E24A87"/>
    <w:rsid w:val="00E27299"/>
    <w:rsid w:val="00E32AC2"/>
    <w:rsid w:val="00E3307A"/>
    <w:rsid w:val="00E3596C"/>
    <w:rsid w:val="00E64A74"/>
    <w:rsid w:val="00E64F22"/>
    <w:rsid w:val="00E666AA"/>
    <w:rsid w:val="00E67554"/>
    <w:rsid w:val="00E703C9"/>
    <w:rsid w:val="00E71DA8"/>
    <w:rsid w:val="00E83493"/>
    <w:rsid w:val="00E958DE"/>
    <w:rsid w:val="00EA6FA9"/>
    <w:rsid w:val="00EB0DAF"/>
    <w:rsid w:val="00EB3E9F"/>
    <w:rsid w:val="00EB49A8"/>
    <w:rsid w:val="00EB53D8"/>
    <w:rsid w:val="00EC18C0"/>
    <w:rsid w:val="00ED43A8"/>
    <w:rsid w:val="00ED5886"/>
    <w:rsid w:val="00EE4E85"/>
    <w:rsid w:val="00F06D81"/>
    <w:rsid w:val="00F116F6"/>
    <w:rsid w:val="00F125FD"/>
    <w:rsid w:val="00F1384E"/>
    <w:rsid w:val="00F15293"/>
    <w:rsid w:val="00F174BE"/>
    <w:rsid w:val="00F239A5"/>
    <w:rsid w:val="00F23E95"/>
    <w:rsid w:val="00F2522A"/>
    <w:rsid w:val="00F27623"/>
    <w:rsid w:val="00F30152"/>
    <w:rsid w:val="00F36AC1"/>
    <w:rsid w:val="00F44884"/>
    <w:rsid w:val="00F608D3"/>
    <w:rsid w:val="00F61C50"/>
    <w:rsid w:val="00F61CF2"/>
    <w:rsid w:val="00F65511"/>
    <w:rsid w:val="00F71066"/>
    <w:rsid w:val="00F758C6"/>
    <w:rsid w:val="00F77197"/>
    <w:rsid w:val="00F8197E"/>
    <w:rsid w:val="00F83823"/>
    <w:rsid w:val="00F91750"/>
    <w:rsid w:val="00F92CDF"/>
    <w:rsid w:val="00F96BD7"/>
    <w:rsid w:val="00FA4D2D"/>
    <w:rsid w:val="00FC2804"/>
    <w:rsid w:val="00FC50F8"/>
    <w:rsid w:val="00FC5277"/>
    <w:rsid w:val="00FC72D4"/>
    <w:rsid w:val="00FD2C06"/>
    <w:rsid w:val="00FE178F"/>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6D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 w:type="character" w:customStyle="1" w:styleId="Heading4Char">
    <w:name w:val="Heading 4 Char"/>
    <w:basedOn w:val="DefaultParagraphFont"/>
    <w:link w:val="Heading4"/>
    <w:uiPriority w:val="9"/>
    <w:semiHidden/>
    <w:rsid w:val="00F06D81"/>
    <w:rPr>
      <w:rFonts w:asciiTheme="majorHAnsi" w:eastAsiaTheme="majorEastAsia" w:hAnsiTheme="majorHAnsi" w:cstheme="majorBidi"/>
      <w:b/>
      <w:bCs/>
      <w:i/>
      <w:iCs/>
      <w:color w:val="4F81BD" w:themeColor="accent1"/>
      <w:sz w:val="24"/>
      <w:szCs w:val="20"/>
    </w:rPr>
  </w:style>
  <w:style w:type="paragraph" w:customStyle="1" w:styleId="Default">
    <w:name w:val="Default"/>
    <w:rsid w:val="004B4B6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6D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 w:type="character" w:customStyle="1" w:styleId="Heading4Char">
    <w:name w:val="Heading 4 Char"/>
    <w:basedOn w:val="DefaultParagraphFont"/>
    <w:link w:val="Heading4"/>
    <w:uiPriority w:val="9"/>
    <w:semiHidden/>
    <w:rsid w:val="00F06D81"/>
    <w:rPr>
      <w:rFonts w:asciiTheme="majorHAnsi" w:eastAsiaTheme="majorEastAsia" w:hAnsiTheme="majorHAnsi" w:cstheme="majorBidi"/>
      <w:b/>
      <w:bCs/>
      <w:i/>
      <w:iCs/>
      <w:color w:val="4F81BD" w:themeColor="accent1"/>
      <w:sz w:val="24"/>
      <w:szCs w:val="20"/>
    </w:rPr>
  </w:style>
  <w:style w:type="paragraph" w:customStyle="1" w:styleId="Default">
    <w:name w:val="Default"/>
    <w:rsid w:val="004B4B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7060">
      <w:bodyDiv w:val="1"/>
      <w:marLeft w:val="0"/>
      <w:marRight w:val="0"/>
      <w:marTop w:val="0"/>
      <w:marBottom w:val="0"/>
      <w:divBdr>
        <w:top w:val="none" w:sz="0" w:space="0" w:color="auto"/>
        <w:left w:val="none" w:sz="0" w:space="0" w:color="auto"/>
        <w:bottom w:val="none" w:sz="0" w:space="0" w:color="auto"/>
        <w:right w:val="none" w:sz="0" w:space="0" w:color="auto"/>
      </w:divBdr>
    </w:div>
    <w:div w:id="605386698">
      <w:bodyDiv w:val="1"/>
      <w:marLeft w:val="0"/>
      <w:marRight w:val="0"/>
      <w:marTop w:val="0"/>
      <w:marBottom w:val="0"/>
      <w:divBdr>
        <w:top w:val="none" w:sz="0" w:space="0" w:color="auto"/>
        <w:left w:val="none" w:sz="0" w:space="0" w:color="auto"/>
        <w:bottom w:val="none" w:sz="0" w:space="0" w:color="auto"/>
        <w:right w:val="none" w:sz="0" w:space="0" w:color="auto"/>
      </w:divBdr>
    </w:div>
    <w:div w:id="793448875">
      <w:bodyDiv w:val="1"/>
      <w:marLeft w:val="0"/>
      <w:marRight w:val="0"/>
      <w:marTop w:val="0"/>
      <w:marBottom w:val="0"/>
      <w:divBdr>
        <w:top w:val="none" w:sz="0" w:space="0" w:color="auto"/>
        <w:left w:val="none" w:sz="0" w:space="0" w:color="auto"/>
        <w:bottom w:val="none" w:sz="0" w:space="0" w:color="auto"/>
        <w:right w:val="none" w:sz="0" w:space="0" w:color="auto"/>
      </w:divBdr>
    </w:div>
    <w:div w:id="820387448">
      <w:bodyDiv w:val="1"/>
      <w:marLeft w:val="0"/>
      <w:marRight w:val="0"/>
      <w:marTop w:val="0"/>
      <w:marBottom w:val="0"/>
      <w:divBdr>
        <w:top w:val="none" w:sz="0" w:space="0" w:color="auto"/>
        <w:left w:val="none" w:sz="0" w:space="0" w:color="auto"/>
        <w:bottom w:val="none" w:sz="0" w:space="0" w:color="auto"/>
        <w:right w:val="none" w:sz="0" w:space="0" w:color="auto"/>
      </w:divBdr>
    </w:div>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 w:id="1305043352">
      <w:bodyDiv w:val="1"/>
      <w:marLeft w:val="0"/>
      <w:marRight w:val="0"/>
      <w:marTop w:val="0"/>
      <w:marBottom w:val="0"/>
      <w:divBdr>
        <w:top w:val="none" w:sz="0" w:space="0" w:color="auto"/>
        <w:left w:val="none" w:sz="0" w:space="0" w:color="auto"/>
        <w:bottom w:val="none" w:sz="0" w:space="0" w:color="auto"/>
        <w:right w:val="none" w:sz="0" w:space="0" w:color="auto"/>
      </w:divBdr>
    </w:div>
    <w:div w:id="1807426527">
      <w:bodyDiv w:val="1"/>
      <w:marLeft w:val="0"/>
      <w:marRight w:val="0"/>
      <w:marTop w:val="0"/>
      <w:marBottom w:val="0"/>
      <w:divBdr>
        <w:top w:val="none" w:sz="0" w:space="0" w:color="auto"/>
        <w:left w:val="none" w:sz="0" w:space="0" w:color="auto"/>
        <w:bottom w:val="none" w:sz="0" w:space="0" w:color="auto"/>
        <w:right w:val="none" w:sz="0" w:space="0" w:color="auto"/>
      </w:divBdr>
      <w:divsChild>
        <w:div w:id="906186334">
          <w:marLeft w:val="0"/>
          <w:marRight w:val="0"/>
          <w:marTop w:val="0"/>
          <w:marBottom w:val="0"/>
          <w:divBdr>
            <w:top w:val="none" w:sz="0" w:space="0" w:color="auto"/>
            <w:left w:val="none" w:sz="0" w:space="0" w:color="auto"/>
            <w:bottom w:val="none" w:sz="0" w:space="0" w:color="auto"/>
            <w:right w:val="none" w:sz="0" w:space="0" w:color="auto"/>
          </w:divBdr>
          <w:divsChild>
            <w:div w:id="1782645378">
              <w:marLeft w:val="0"/>
              <w:marRight w:val="0"/>
              <w:marTop w:val="0"/>
              <w:marBottom w:val="0"/>
              <w:divBdr>
                <w:top w:val="none" w:sz="0" w:space="0" w:color="auto"/>
                <w:left w:val="none" w:sz="0" w:space="0" w:color="auto"/>
                <w:bottom w:val="single" w:sz="6" w:space="0" w:color="EEEEEE"/>
                <w:right w:val="none" w:sz="0" w:space="0" w:color="auto"/>
              </w:divBdr>
              <w:divsChild>
                <w:div w:id="768890218">
                  <w:marLeft w:val="0"/>
                  <w:marRight w:val="0"/>
                  <w:marTop w:val="0"/>
                  <w:marBottom w:val="0"/>
                  <w:divBdr>
                    <w:top w:val="none" w:sz="0" w:space="0" w:color="auto"/>
                    <w:left w:val="none" w:sz="0" w:space="0" w:color="auto"/>
                    <w:bottom w:val="single" w:sz="6" w:space="0" w:color="EEEEEE"/>
                    <w:right w:val="none" w:sz="0" w:space="0" w:color="auto"/>
                  </w:divBdr>
                  <w:divsChild>
                    <w:div w:id="781799981">
                      <w:marLeft w:val="0"/>
                      <w:marRight w:val="0"/>
                      <w:marTop w:val="0"/>
                      <w:marBottom w:val="0"/>
                      <w:divBdr>
                        <w:top w:val="none" w:sz="0" w:space="0" w:color="auto"/>
                        <w:left w:val="none" w:sz="0" w:space="0" w:color="auto"/>
                        <w:bottom w:val="none" w:sz="0" w:space="0" w:color="auto"/>
                        <w:right w:val="none" w:sz="0" w:space="0" w:color="auto"/>
                      </w:divBdr>
                      <w:divsChild>
                        <w:div w:id="1294680457">
                          <w:marLeft w:val="0"/>
                          <w:marRight w:val="0"/>
                          <w:marTop w:val="0"/>
                          <w:marBottom w:val="0"/>
                          <w:divBdr>
                            <w:top w:val="none" w:sz="0" w:space="0" w:color="auto"/>
                            <w:left w:val="none" w:sz="0" w:space="0" w:color="auto"/>
                            <w:bottom w:val="none" w:sz="0" w:space="0" w:color="auto"/>
                            <w:right w:val="none" w:sz="0" w:space="0" w:color="auto"/>
                          </w:divBdr>
                          <w:divsChild>
                            <w:div w:id="11151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65246">
          <w:marLeft w:val="0"/>
          <w:marRight w:val="0"/>
          <w:marTop w:val="0"/>
          <w:marBottom w:val="0"/>
          <w:divBdr>
            <w:top w:val="none" w:sz="0" w:space="0" w:color="auto"/>
            <w:left w:val="none" w:sz="0" w:space="0" w:color="auto"/>
            <w:bottom w:val="none" w:sz="0" w:space="0" w:color="auto"/>
            <w:right w:val="none" w:sz="0" w:space="0" w:color="auto"/>
          </w:divBdr>
          <w:divsChild>
            <w:div w:id="218981849">
              <w:marLeft w:val="0"/>
              <w:marRight w:val="0"/>
              <w:marTop w:val="0"/>
              <w:marBottom w:val="0"/>
              <w:divBdr>
                <w:top w:val="none" w:sz="0" w:space="0" w:color="auto"/>
                <w:left w:val="none" w:sz="0" w:space="0" w:color="auto"/>
                <w:bottom w:val="none" w:sz="0" w:space="0" w:color="auto"/>
                <w:right w:val="none" w:sz="0" w:space="0" w:color="auto"/>
              </w:divBdr>
              <w:divsChild>
                <w:div w:id="1373265170">
                  <w:marLeft w:val="0"/>
                  <w:marRight w:val="450"/>
                  <w:marTop w:val="0"/>
                  <w:marBottom w:val="0"/>
                  <w:divBdr>
                    <w:top w:val="none" w:sz="0" w:space="0" w:color="auto"/>
                    <w:left w:val="none" w:sz="0" w:space="0" w:color="auto"/>
                    <w:bottom w:val="none" w:sz="0" w:space="0" w:color="auto"/>
                    <w:right w:val="none" w:sz="0" w:space="0" w:color="auto"/>
                  </w:divBdr>
                  <w:divsChild>
                    <w:div w:id="121728276">
                      <w:marLeft w:val="0"/>
                      <w:marRight w:val="0"/>
                      <w:marTop w:val="0"/>
                      <w:marBottom w:val="0"/>
                      <w:divBdr>
                        <w:top w:val="none" w:sz="0" w:space="0" w:color="auto"/>
                        <w:left w:val="none" w:sz="0" w:space="0" w:color="auto"/>
                        <w:bottom w:val="none" w:sz="0" w:space="0" w:color="auto"/>
                        <w:right w:val="none" w:sz="0" w:space="0" w:color="auto"/>
                      </w:divBdr>
                      <w:divsChild>
                        <w:div w:id="468593534">
                          <w:marLeft w:val="0"/>
                          <w:marRight w:val="0"/>
                          <w:marTop w:val="0"/>
                          <w:marBottom w:val="0"/>
                          <w:divBdr>
                            <w:top w:val="none" w:sz="0" w:space="0" w:color="auto"/>
                            <w:left w:val="none" w:sz="0" w:space="0" w:color="auto"/>
                            <w:bottom w:val="none" w:sz="0" w:space="0" w:color="auto"/>
                            <w:right w:val="none" w:sz="0" w:space="0" w:color="auto"/>
                          </w:divBdr>
                        </w:div>
                        <w:div w:id="1699966650">
                          <w:marLeft w:val="0"/>
                          <w:marRight w:val="0"/>
                          <w:marTop w:val="0"/>
                          <w:marBottom w:val="150"/>
                          <w:divBdr>
                            <w:top w:val="none" w:sz="0" w:space="0" w:color="auto"/>
                            <w:left w:val="none" w:sz="0" w:space="0" w:color="auto"/>
                            <w:bottom w:val="none" w:sz="0" w:space="0" w:color="auto"/>
                            <w:right w:val="none" w:sz="0" w:space="0" w:color="auto"/>
                          </w:divBdr>
                          <w:divsChild>
                            <w:div w:id="4486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842">
          <w:marLeft w:val="0"/>
          <w:marRight w:val="0"/>
          <w:marTop w:val="0"/>
          <w:marBottom w:val="0"/>
          <w:divBdr>
            <w:top w:val="none" w:sz="0" w:space="0" w:color="auto"/>
            <w:left w:val="none" w:sz="0" w:space="0" w:color="auto"/>
            <w:bottom w:val="none" w:sz="0" w:space="0" w:color="auto"/>
            <w:right w:val="none" w:sz="0" w:space="0" w:color="auto"/>
          </w:divBdr>
          <w:divsChild>
            <w:div w:id="104010782">
              <w:marLeft w:val="-225"/>
              <w:marRight w:val="-225"/>
              <w:marTop w:val="0"/>
              <w:marBottom w:val="100"/>
              <w:divBdr>
                <w:top w:val="none" w:sz="0" w:space="0" w:color="auto"/>
                <w:left w:val="none" w:sz="0" w:space="0" w:color="auto"/>
                <w:bottom w:val="none" w:sz="0" w:space="0" w:color="auto"/>
                <w:right w:val="none" w:sz="0" w:space="0" w:color="auto"/>
              </w:divBdr>
              <w:divsChild>
                <w:div w:id="1156532146">
                  <w:marLeft w:val="0"/>
                  <w:marRight w:val="0"/>
                  <w:marTop w:val="0"/>
                  <w:marBottom w:val="0"/>
                  <w:divBdr>
                    <w:top w:val="none" w:sz="0" w:space="0" w:color="auto"/>
                    <w:left w:val="none" w:sz="0" w:space="0" w:color="auto"/>
                    <w:bottom w:val="none" w:sz="0" w:space="0" w:color="auto"/>
                    <w:right w:val="none" w:sz="0" w:space="0" w:color="auto"/>
                  </w:divBdr>
                  <w:divsChild>
                    <w:div w:id="1757743633">
                      <w:marLeft w:val="-225"/>
                      <w:marRight w:val="-225"/>
                      <w:marTop w:val="0"/>
                      <w:marBottom w:val="100"/>
                      <w:divBdr>
                        <w:top w:val="none" w:sz="0" w:space="0" w:color="auto"/>
                        <w:left w:val="none" w:sz="0" w:space="0" w:color="auto"/>
                        <w:bottom w:val="none" w:sz="0" w:space="0" w:color="auto"/>
                        <w:right w:val="none" w:sz="0" w:space="0" w:color="auto"/>
                      </w:divBdr>
                      <w:divsChild>
                        <w:div w:id="2094204627">
                          <w:marLeft w:val="0"/>
                          <w:marRight w:val="0"/>
                          <w:marTop w:val="0"/>
                          <w:marBottom w:val="0"/>
                          <w:divBdr>
                            <w:top w:val="none" w:sz="0" w:space="0" w:color="auto"/>
                            <w:left w:val="none" w:sz="0" w:space="0" w:color="auto"/>
                            <w:bottom w:val="none" w:sz="0" w:space="0" w:color="auto"/>
                            <w:right w:val="none" w:sz="0" w:space="0" w:color="auto"/>
                          </w:divBdr>
                          <w:divsChild>
                            <w:div w:id="15046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265">
                      <w:marLeft w:val="0"/>
                      <w:marRight w:val="0"/>
                      <w:marTop w:val="0"/>
                      <w:marBottom w:val="450"/>
                      <w:divBdr>
                        <w:top w:val="none" w:sz="0" w:space="0" w:color="auto"/>
                        <w:left w:val="none" w:sz="0" w:space="0" w:color="auto"/>
                        <w:bottom w:val="none" w:sz="0" w:space="0" w:color="auto"/>
                        <w:right w:val="none" w:sz="0" w:space="0" w:color="auto"/>
                      </w:divBdr>
                      <w:divsChild>
                        <w:div w:id="849608996">
                          <w:marLeft w:val="0"/>
                          <w:marRight w:val="0"/>
                          <w:marTop w:val="0"/>
                          <w:marBottom w:val="150"/>
                          <w:divBdr>
                            <w:top w:val="none" w:sz="0" w:space="0" w:color="auto"/>
                            <w:left w:val="none" w:sz="0" w:space="0" w:color="auto"/>
                            <w:bottom w:val="none" w:sz="0" w:space="0" w:color="auto"/>
                            <w:right w:val="none" w:sz="0" w:space="0" w:color="auto"/>
                          </w:divBdr>
                        </w:div>
                        <w:div w:id="710305465">
                          <w:marLeft w:val="0"/>
                          <w:marRight w:val="0"/>
                          <w:marTop w:val="0"/>
                          <w:marBottom w:val="0"/>
                          <w:divBdr>
                            <w:top w:val="none" w:sz="0" w:space="0" w:color="auto"/>
                            <w:left w:val="none" w:sz="0" w:space="0" w:color="auto"/>
                            <w:bottom w:val="none" w:sz="0" w:space="0" w:color="auto"/>
                            <w:right w:val="none" w:sz="0" w:space="0" w:color="auto"/>
                          </w:divBdr>
                          <w:divsChild>
                            <w:div w:id="1269004129">
                              <w:marLeft w:val="0"/>
                              <w:marRight w:val="0"/>
                              <w:marTop w:val="0"/>
                              <w:marBottom w:val="150"/>
                              <w:divBdr>
                                <w:top w:val="none" w:sz="0" w:space="0" w:color="auto"/>
                                <w:left w:val="none" w:sz="0" w:space="0" w:color="auto"/>
                                <w:bottom w:val="none" w:sz="0" w:space="0" w:color="auto"/>
                                <w:right w:val="none" w:sz="0" w:space="0" w:color="auto"/>
                              </w:divBdr>
                              <w:divsChild>
                                <w:div w:id="1364089621">
                                  <w:marLeft w:val="-225"/>
                                  <w:marRight w:val="-225"/>
                                  <w:marTop w:val="0"/>
                                  <w:marBottom w:val="100"/>
                                  <w:divBdr>
                                    <w:top w:val="none" w:sz="0" w:space="0" w:color="auto"/>
                                    <w:left w:val="none" w:sz="0" w:space="0" w:color="auto"/>
                                    <w:bottom w:val="none" w:sz="0" w:space="0" w:color="auto"/>
                                    <w:right w:val="none" w:sz="0" w:space="0" w:color="auto"/>
                                  </w:divBdr>
                                  <w:divsChild>
                                    <w:div w:id="13983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9728">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705">
      <w:bodyDiv w:val="1"/>
      <w:marLeft w:val="0"/>
      <w:marRight w:val="0"/>
      <w:marTop w:val="0"/>
      <w:marBottom w:val="0"/>
      <w:divBdr>
        <w:top w:val="none" w:sz="0" w:space="0" w:color="auto"/>
        <w:left w:val="none" w:sz="0" w:space="0" w:color="auto"/>
        <w:bottom w:val="none" w:sz="0" w:space="0" w:color="auto"/>
        <w:right w:val="none" w:sz="0" w:space="0" w:color="auto"/>
      </w:divBdr>
      <w:divsChild>
        <w:div w:id="1498302969">
          <w:marLeft w:val="0"/>
          <w:marRight w:val="0"/>
          <w:marTop w:val="166"/>
          <w:marBottom w:val="166"/>
          <w:divBdr>
            <w:top w:val="none" w:sz="0" w:space="0" w:color="auto"/>
            <w:left w:val="none" w:sz="0" w:space="0" w:color="auto"/>
            <w:bottom w:val="none" w:sz="0" w:space="0" w:color="auto"/>
            <w:right w:val="none" w:sz="0" w:space="0" w:color="auto"/>
          </w:divBdr>
          <w:divsChild>
            <w:div w:id="4407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Shaw@ShawChiropract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2GvuN2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it.ly/1e2okvV"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193E-13A4-48E6-8F48-D99AB6B3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2019-04-25T13:48:00Z</cp:lastPrinted>
  <dcterms:created xsi:type="dcterms:W3CDTF">2019-04-25T13:47:00Z</dcterms:created>
  <dcterms:modified xsi:type="dcterms:W3CDTF">2019-04-25T13:48:00Z</dcterms:modified>
</cp:coreProperties>
</file>