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E0" w:rsidRDefault="00F239A5" w:rsidP="009D54E0">
      <w:pPr>
        <w:spacing w:after="200" w:line="276" w:lineRule="auto"/>
        <w:ind w:left="-720" w:right="-720"/>
        <w:jc w:val="center"/>
        <w:rPr>
          <w:rFonts w:eastAsiaTheme="minorHAnsi"/>
          <w:b/>
          <w:color w:val="1F497D" w:themeColor="text2"/>
          <w:sz w:val="56"/>
          <w:szCs w:val="56"/>
        </w:rPr>
      </w:pPr>
      <w:r w:rsidRPr="00F36AC1">
        <w:rPr>
          <w:rFonts w:eastAsiaTheme="minorHAnsi"/>
          <w:b/>
          <w:color w:val="1F497D" w:themeColor="text2"/>
          <w:sz w:val="56"/>
          <w:szCs w:val="56"/>
        </w:rPr>
        <w:t>Can A</w:t>
      </w:r>
      <w:r w:rsidR="00F36AC1" w:rsidRPr="00F36AC1">
        <w:rPr>
          <w:rFonts w:eastAsiaTheme="minorHAnsi"/>
          <w:b/>
          <w:color w:val="1F497D" w:themeColor="text2"/>
          <w:sz w:val="56"/>
          <w:szCs w:val="56"/>
        </w:rPr>
        <w:t xml:space="preserve"> Biomechanics Expert Opine on Specific </w:t>
      </w:r>
      <w:r>
        <w:rPr>
          <w:rFonts w:eastAsiaTheme="minorHAnsi"/>
          <w:b/>
          <w:color w:val="1F497D" w:themeColor="text2"/>
          <w:sz w:val="56"/>
          <w:szCs w:val="56"/>
        </w:rPr>
        <w:t xml:space="preserve">Injury </w:t>
      </w:r>
      <w:r w:rsidR="00F36AC1" w:rsidRPr="00F36AC1">
        <w:rPr>
          <w:rFonts w:eastAsiaTheme="minorHAnsi"/>
          <w:b/>
          <w:color w:val="1F497D" w:themeColor="text2"/>
          <w:sz w:val="56"/>
          <w:szCs w:val="56"/>
        </w:rPr>
        <w:t>Causation?</w:t>
      </w:r>
    </w:p>
    <w:p w:rsidR="00D0627F" w:rsidRDefault="001752CA" w:rsidP="00615094">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The</w:t>
      </w:r>
      <w:r w:rsidR="00F36AC1">
        <w:rPr>
          <w:rFonts w:eastAsiaTheme="minorHAnsi"/>
          <w:color w:val="333333"/>
          <w:szCs w:val="24"/>
          <w:shd w:val="clear" w:color="auto" w:fill="FFFFFF"/>
        </w:rPr>
        <w:t xml:space="preserve"> </w:t>
      </w:r>
      <w:r w:rsidR="00D0627F">
        <w:rPr>
          <w:rFonts w:eastAsiaTheme="minorHAnsi"/>
          <w:color w:val="333333"/>
          <w:szCs w:val="24"/>
          <w:shd w:val="clear" w:color="auto" w:fill="FFFFFF"/>
        </w:rPr>
        <w:t xml:space="preserve">Connecticut </w:t>
      </w:r>
      <w:r w:rsidR="00F36AC1">
        <w:rPr>
          <w:rFonts w:eastAsiaTheme="minorHAnsi"/>
          <w:color w:val="333333"/>
          <w:szCs w:val="24"/>
          <w:shd w:val="clear" w:color="auto" w:fill="FFFFFF"/>
        </w:rPr>
        <w:t xml:space="preserve">appellate </w:t>
      </w:r>
      <w:r>
        <w:rPr>
          <w:rFonts w:eastAsiaTheme="minorHAnsi"/>
          <w:color w:val="333333"/>
          <w:szCs w:val="24"/>
          <w:shd w:val="clear" w:color="auto" w:fill="FFFFFF"/>
        </w:rPr>
        <w:t>court released a decision entitled</w:t>
      </w:r>
      <w:r w:rsidR="00F36AC1">
        <w:rPr>
          <w:rFonts w:eastAsiaTheme="minorHAnsi"/>
          <w:color w:val="333333"/>
          <w:szCs w:val="24"/>
          <w:shd w:val="clear" w:color="auto" w:fill="FFFFFF"/>
        </w:rPr>
        <w:t xml:space="preserve"> </w:t>
      </w:r>
      <w:r>
        <w:rPr>
          <w:rFonts w:ascii="Century-Book" w:eastAsiaTheme="minorHAnsi" w:hAnsi="Century-Book" w:cs="Century-Book"/>
          <w:sz w:val="22"/>
          <w:szCs w:val="22"/>
        </w:rPr>
        <w:t xml:space="preserve">JEFFREY F. GOSTYLA </w:t>
      </w:r>
      <w:r>
        <w:rPr>
          <w:rFonts w:ascii="Century-BookItalic" w:eastAsiaTheme="minorHAnsi" w:hAnsi="Century-BookItalic" w:cs="Century-BookItalic"/>
          <w:i/>
          <w:iCs/>
          <w:sz w:val="22"/>
          <w:szCs w:val="22"/>
        </w:rPr>
        <w:t xml:space="preserve">v. </w:t>
      </w:r>
      <w:r>
        <w:rPr>
          <w:rFonts w:ascii="Century-Book" w:eastAsiaTheme="minorHAnsi" w:hAnsi="Century-Book" w:cs="Century-Book"/>
          <w:sz w:val="22"/>
          <w:szCs w:val="22"/>
        </w:rPr>
        <w:t xml:space="preserve">BRYAN CHAMBERS released </w:t>
      </w:r>
      <w:r w:rsidR="00F36AC1">
        <w:rPr>
          <w:rFonts w:eastAsiaTheme="minorHAnsi"/>
          <w:color w:val="333333"/>
          <w:szCs w:val="24"/>
          <w:shd w:val="clear" w:color="auto" w:fill="FFFFFF"/>
        </w:rPr>
        <w:t>on September 19</w:t>
      </w:r>
      <w:r w:rsidR="00F36AC1" w:rsidRPr="00F36AC1">
        <w:rPr>
          <w:rFonts w:eastAsiaTheme="minorHAnsi"/>
          <w:color w:val="333333"/>
          <w:szCs w:val="24"/>
          <w:shd w:val="clear" w:color="auto" w:fill="FFFFFF"/>
          <w:vertAlign w:val="superscript"/>
        </w:rPr>
        <w:t>th</w:t>
      </w:r>
      <w:r w:rsidR="00B2431D">
        <w:rPr>
          <w:rFonts w:eastAsiaTheme="minorHAnsi"/>
          <w:color w:val="333333"/>
          <w:szCs w:val="24"/>
          <w:shd w:val="clear" w:color="auto" w:fill="FFFFFF"/>
        </w:rPr>
        <w:t xml:space="preserve">, </w:t>
      </w:r>
      <w:r w:rsidR="00F36AC1">
        <w:rPr>
          <w:rFonts w:eastAsiaTheme="minorHAnsi"/>
          <w:color w:val="333333"/>
          <w:szCs w:val="24"/>
          <w:shd w:val="clear" w:color="auto" w:fill="FFFFFF"/>
        </w:rPr>
        <w:t>2017 (AC 38943</w:t>
      </w:r>
      <w:r w:rsidR="00F239A5">
        <w:rPr>
          <w:rFonts w:eastAsiaTheme="minorHAnsi"/>
          <w:color w:val="333333"/>
          <w:szCs w:val="24"/>
          <w:shd w:val="clear" w:color="auto" w:fill="FFFFFF"/>
        </w:rPr>
        <w:t xml:space="preserve">) </w:t>
      </w:r>
      <w:r w:rsidR="00615094">
        <w:rPr>
          <w:rFonts w:eastAsiaTheme="minorHAnsi"/>
          <w:color w:val="333333"/>
          <w:szCs w:val="24"/>
          <w:shd w:val="clear" w:color="auto" w:fill="FFFFFF"/>
        </w:rPr>
        <w:t>addressed this question</w:t>
      </w:r>
      <w:r w:rsidR="00D0627F">
        <w:rPr>
          <w:rFonts w:eastAsiaTheme="minorHAnsi"/>
          <w:color w:val="333333"/>
          <w:szCs w:val="24"/>
          <w:shd w:val="clear" w:color="auto" w:fill="FFFFFF"/>
        </w:rPr>
        <w:t xml:space="preserve">. Since this specific issue had not been addressed in Connecticut prior to this decision it should be of great </w:t>
      </w:r>
      <w:r w:rsidR="00B2431D">
        <w:rPr>
          <w:rFonts w:eastAsiaTheme="minorHAnsi"/>
          <w:color w:val="333333"/>
          <w:szCs w:val="24"/>
          <w:shd w:val="clear" w:color="auto" w:fill="FFFFFF"/>
        </w:rPr>
        <w:t>interest</w:t>
      </w:r>
      <w:r w:rsidR="00D0627F">
        <w:rPr>
          <w:rFonts w:eastAsiaTheme="minorHAnsi"/>
          <w:color w:val="333333"/>
          <w:szCs w:val="24"/>
          <w:shd w:val="clear" w:color="auto" w:fill="FFFFFF"/>
        </w:rPr>
        <w:t xml:space="preserve"> to </w:t>
      </w:r>
      <w:r w:rsidR="004D47FF">
        <w:rPr>
          <w:rFonts w:eastAsiaTheme="minorHAnsi"/>
          <w:color w:val="333333"/>
          <w:szCs w:val="24"/>
          <w:shd w:val="clear" w:color="auto" w:fill="FFFFFF"/>
        </w:rPr>
        <w:t xml:space="preserve">Connecticut </w:t>
      </w:r>
      <w:r w:rsidR="00D0627F">
        <w:rPr>
          <w:rFonts w:eastAsiaTheme="minorHAnsi"/>
          <w:color w:val="333333"/>
          <w:szCs w:val="24"/>
          <w:shd w:val="clear" w:color="auto" w:fill="FFFFFF"/>
        </w:rPr>
        <w:t>attorneys</w:t>
      </w:r>
      <w:r w:rsidR="004D47FF">
        <w:rPr>
          <w:rFonts w:eastAsiaTheme="minorHAnsi"/>
          <w:color w:val="333333"/>
          <w:szCs w:val="24"/>
          <w:shd w:val="clear" w:color="auto" w:fill="FFFFFF"/>
        </w:rPr>
        <w:t xml:space="preserve"> representing clients in low-</w:t>
      </w:r>
      <w:r w:rsidR="00D0627F">
        <w:rPr>
          <w:rFonts w:eastAsiaTheme="minorHAnsi"/>
          <w:color w:val="333333"/>
          <w:szCs w:val="24"/>
          <w:shd w:val="clear" w:color="auto" w:fill="FFFFFF"/>
        </w:rPr>
        <w:t>mid impact collisions</w:t>
      </w:r>
      <w:r w:rsidR="00B2431D">
        <w:rPr>
          <w:rFonts w:eastAsiaTheme="minorHAnsi"/>
          <w:color w:val="333333"/>
          <w:szCs w:val="24"/>
          <w:shd w:val="clear" w:color="auto" w:fill="FFFFFF"/>
        </w:rPr>
        <w:t>; the types of cases that we tend to see these biomechanical experts being used most</w:t>
      </w:r>
      <w:proofErr w:type="gramStart"/>
      <w:r w:rsidR="00B2431D">
        <w:rPr>
          <w:rFonts w:eastAsiaTheme="minorHAnsi"/>
          <w:color w:val="333333"/>
          <w:szCs w:val="24"/>
          <w:shd w:val="clear" w:color="auto" w:fill="FFFFFF"/>
        </w:rPr>
        <w:t>.</w:t>
      </w:r>
      <w:r w:rsidR="00D0627F">
        <w:rPr>
          <w:rFonts w:eastAsiaTheme="minorHAnsi"/>
          <w:color w:val="333333"/>
          <w:szCs w:val="24"/>
          <w:shd w:val="clear" w:color="auto" w:fill="FFFFFF"/>
        </w:rPr>
        <w:t>.</w:t>
      </w:r>
      <w:proofErr w:type="gramEnd"/>
      <w:r w:rsidR="00D0627F">
        <w:rPr>
          <w:rFonts w:eastAsiaTheme="minorHAnsi"/>
          <w:color w:val="333333"/>
          <w:szCs w:val="24"/>
          <w:shd w:val="clear" w:color="auto" w:fill="FFFFFF"/>
        </w:rPr>
        <w:t xml:space="preserve"> I’ll </w:t>
      </w:r>
      <w:r w:rsidR="000D0BB1">
        <w:rPr>
          <w:rFonts w:eastAsiaTheme="minorHAnsi"/>
          <w:color w:val="333333"/>
          <w:szCs w:val="24"/>
          <w:shd w:val="clear" w:color="auto" w:fill="FFFFFF"/>
        </w:rPr>
        <w:t xml:space="preserve">briefly </w:t>
      </w:r>
      <w:r w:rsidR="00D0627F">
        <w:rPr>
          <w:rFonts w:eastAsiaTheme="minorHAnsi"/>
          <w:color w:val="333333"/>
          <w:szCs w:val="24"/>
          <w:shd w:val="clear" w:color="auto" w:fill="FFFFFF"/>
        </w:rPr>
        <w:t>summarize the decision and discuss some of the considerations and remaining issues that you may encounter.</w:t>
      </w:r>
    </w:p>
    <w:p w:rsidR="00C614CA" w:rsidRDefault="00B2431D" w:rsidP="00C614CA">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In brief, t</w:t>
      </w:r>
      <w:r w:rsidR="00D0627F">
        <w:rPr>
          <w:rFonts w:eastAsiaTheme="minorHAnsi"/>
          <w:color w:val="333333"/>
          <w:szCs w:val="24"/>
          <w:shd w:val="clear" w:color="auto" w:fill="FFFFFF"/>
        </w:rPr>
        <w:t xml:space="preserve">his case involved a low speed collision resulting in the plaintiff sustaining multiple injuries. </w:t>
      </w:r>
      <w:r>
        <w:rPr>
          <w:rFonts w:eastAsiaTheme="minorHAnsi"/>
          <w:color w:val="333333"/>
          <w:szCs w:val="24"/>
          <w:shd w:val="clear" w:color="auto" w:fill="FFFFFF"/>
        </w:rPr>
        <w:t>A</w:t>
      </w:r>
      <w:r w:rsidR="00D0627F">
        <w:rPr>
          <w:rFonts w:eastAsiaTheme="minorHAnsi"/>
          <w:color w:val="333333"/>
          <w:szCs w:val="24"/>
          <w:shd w:val="clear" w:color="auto" w:fill="FFFFFF"/>
        </w:rPr>
        <w:t xml:space="preserve"> video deposition </w:t>
      </w:r>
      <w:r>
        <w:rPr>
          <w:rFonts w:eastAsiaTheme="minorHAnsi"/>
          <w:color w:val="333333"/>
          <w:szCs w:val="24"/>
          <w:shd w:val="clear" w:color="auto" w:fill="FFFFFF"/>
        </w:rPr>
        <w:t>by</w:t>
      </w:r>
      <w:r w:rsidR="00D0627F">
        <w:rPr>
          <w:rFonts w:eastAsiaTheme="minorHAnsi"/>
          <w:color w:val="333333"/>
          <w:szCs w:val="24"/>
          <w:shd w:val="clear" w:color="auto" w:fill="FFFFFF"/>
        </w:rPr>
        <w:t xml:space="preserve"> a biomechanical expert </w:t>
      </w:r>
      <w:r>
        <w:rPr>
          <w:rFonts w:eastAsiaTheme="minorHAnsi"/>
          <w:color w:val="333333"/>
          <w:szCs w:val="24"/>
          <w:shd w:val="clear" w:color="auto" w:fill="FFFFFF"/>
        </w:rPr>
        <w:t>included an opinion that the injuries sustained by the plaintiff were not ca</w:t>
      </w:r>
      <w:r w:rsidR="004D47FF">
        <w:rPr>
          <w:rFonts w:eastAsiaTheme="minorHAnsi"/>
          <w:color w:val="333333"/>
          <w:szCs w:val="24"/>
          <w:shd w:val="clear" w:color="auto" w:fill="FFFFFF"/>
        </w:rPr>
        <w:t xml:space="preserve">usally related to the </w:t>
      </w:r>
      <w:r w:rsidR="001752CA">
        <w:rPr>
          <w:rFonts w:eastAsiaTheme="minorHAnsi"/>
          <w:color w:val="333333"/>
          <w:szCs w:val="24"/>
          <w:shd w:val="clear" w:color="auto" w:fill="FFFFFF"/>
        </w:rPr>
        <w:t>collision</w:t>
      </w:r>
      <w:r w:rsidR="004D47FF">
        <w:rPr>
          <w:rFonts w:eastAsiaTheme="minorHAnsi"/>
          <w:color w:val="333333"/>
          <w:szCs w:val="24"/>
          <w:shd w:val="clear" w:color="auto" w:fill="FFFFFF"/>
        </w:rPr>
        <w:t xml:space="preserve">. </w:t>
      </w:r>
      <w:r>
        <w:rPr>
          <w:rFonts w:eastAsiaTheme="minorHAnsi"/>
          <w:color w:val="333333"/>
          <w:szCs w:val="24"/>
          <w:shd w:val="clear" w:color="auto" w:fill="FFFFFF"/>
        </w:rPr>
        <w:t>P</w:t>
      </w:r>
      <w:r w:rsidR="001752CA">
        <w:rPr>
          <w:rFonts w:eastAsiaTheme="minorHAnsi"/>
          <w:color w:val="333333"/>
          <w:szCs w:val="24"/>
          <w:shd w:val="clear" w:color="auto" w:fill="FFFFFF"/>
        </w:rPr>
        <w:t>laintiff counsel</w:t>
      </w:r>
      <w:r>
        <w:rPr>
          <w:rFonts w:eastAsiaTheme="minorHAnsi"/>
          <w:color w:val="333333"/>
          <w:szCs w:val="24"/>
          <w:shd w:val="clear" w:color="auto" w:fill="FFFFFF"/>
        </w:rPr>
        <w:t>’s</w:t>
      </w:r>
      <w:r w:rsidR="00D0627F">
        <w:rPr>
          <w:rFonts w:eastAsiaTheme="minorHAnsi"/>
          <w:color w:val="333333"/>
          <w:szCs w:val="24"/>
          <w:shd w:val="clear" w:color="auto" w:fill="FFFFFF"/>
        </w:rPr>
        <w:t xml:space="preserve"> motion in limine was denied by the lower court</w:t>
      </w:r>
      <w:r>
        <w:rPr>
          <w:rFonts w:eastAsiaTheme="minorHAnsi"/>
          <w:color w:val="333333"/>
          <w:szCs w:val="24"/>
          <w:shd w:val="clear" w:color="auto" w:fill="FFFFFF"/>
        </w:rPr>
        <w:t xml:space="preserve"> judge. After a defendant</w:t>
      </w:r>
      <w:r w:rsidR="00A10D52">
        <w:rPr>
          <w:rFonts w:eastAsiaTheme="minorHAnsi"/>
          <w:color w:val="333333"/>
          <w:szCs w:val="24"/>
          <w:shd w:val="clear" w:color="auto" w:fill="FFFFFF"/>
        </w:rPr>
        <w:t>s</w:t>
      </w:r>
      <w:r>
        <w:rPr>
          <w:rFonts w:eastAsiaTheme="minorHAnsi"/>
          <w:color w:val="333333"/>
          <w:szCs w:val="24"/>
          <w:shd w:val="clear" w:color="auto" w:fill="FFFFFF"/>
        </w:rPr>
        <w:t xml:space="preserve"> verdict the case was appeal</w:t>
      </w:r>
      <w:r w:rsidR="00A10D52">
        <w:rPr>
          <w:rFonts w:eastAsiaTheme="minorHAnsi"/>
          <w:color w:val="333333"/>
          <w:szCs w:val="24"/>
          <w:shd w:val="clear" w:color="auto" w:fill="FFFFFF"/>
        </w:rPr>
        <w:t>ed to the Appellate Court</w:t>
      </w:r>
      <w:r>
        <w:rPr>
          <w:rFonts w:eastAsiaTheme="minorHAnsi"/>
          <w:color w:val="333333"/>
          <w:szCs w:val="24"/>
          <w:shd w:val="clear" w:color="auto" w:fill="FFFFFF"/>
        </w:rPr>
        <w:t>.</w:t>
      </w:r>
    </w:p>
    <w:p w:rsidR="00B2431D" w:rsidRDefault="00AD0369" w:rsidP="00F92CDF">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The Appellate C</w:t>
      </w:r>
      <w:r w:rsidR="00B2431D">
        <w:rPr>
          <w:rFonts w:eastAsiaTheme="minorHAnsi"/>
          <w:color w:val="333333"/>
          <w:szCs w:val="24"/>
          <w:shd w:val="clear" w:color="auto" w:fill="FFFFFF"/>
        </w:rPr>
        <w:t xml:space="preserve">ourt found that the trial court abused its discretion by admitting the causation testimony by the biomechanical expert. </w:t>
      </w:r>
      <w:r w:rsidR="004D47FF">
        <w:rPr>
          <w:rFonts w:eastAsiaTheme="minorHAnsi"/>
          <w:color w:val="333333"/>
          <w:szCs w:val="24"/>
          <w:shd w:val="clear" w:color="auto" w:fill="FFFFFF"/>
        </w:rPr>
        <w:t xml:space="preserve">The </w:t>
      </w:r>
      <w:r w:rsidR="00B542B4">
        <w:rPr>
          <w:rFonts w:eastAsiaTheme="minorHAnsi"/>
          <w:color w:val="333333"/>
          <w:szCs w:val="24"/>
          <w:shd w:val="clear" w:color="auto" w:fill="FFFFFF"/>
        </w:rPr>
        <w:t>Appellate Court</w:t>
      </w:r>
      <w:r w:rsidR="00B2431D">
        <w:rPr>
          <w:rFonts w:eastAsiaTheme="minorHAnsi"/>
          <w:color w:val="333333"/>
          <w:szCs w:val="24"/>
          <w:shd w:val="clear" w:color="auto" w:fill="FFFFFF"/>
        </w:rPr>
        <w:t xml:space="preserve"> found that a biomechanical engineer </w:t>
      </w:r>
      <w:r w:rsidR="00B542B4">
        <w:rPr>
          <w:rFonts w:eastAsiaTheme="minorHAnsi"/>
          <w:color w:val="333333"/>
          <w:szCs w:val="24"/>
          <w:shd w:val="clear" w:color="auto" w:fill="FFFFFF"/>
        </w:rPr>
        <w:t>may</w:t>
      </w:r>
      <w:r w:rsidR="00B2431D">
        <w:rPr>
          <w:rFonts w:eastAsiaTheme="minorHAnsi"/>
          <w:color w:val="333333"/>
          <w:szCs w:val="24"/>
          <w:shd w:val="clear" w:color="auto" w:fill="FFFFFF"/>
        </w:rPr>
        <w:t xml:space="preserve"> provide an opinion regarding forces generated by a collision </w:t>
      </w:r>
      <w:r w:rsidR="00D0270B">
        <w:rPr>
          <w:rFonts w:eastAsiaTheme="minorHAnsi"/>
          <w:color w:val="333333"/>
          <w:szCs w:val="24"/>
          <w:shd w:val="clear" w:color="auto" w:fill="FFFFFF"/>
        </w:rPr>
        <w:t>and the likely types of injuries expected from tha</w:t>
      </w:r>
      <w:r w:rsidR="00B542B4">
        <w:rPr>
          <w:rFonts w:eastAsiaTheme="minorHAnsi"/>
          <w:color w:val="333333"/>
          <w:szCs w:val="24"/>
          <w:shd w:val="clear" w:color="auto" w:fill="FFFFFF"/>
        </w:rPr>
        <w:t>t amount of force. However, the court</w:t>
      </w:r>
      <w:r w:rsidR="00D0270B">
        <w:rPr>
          <w:rFonts w:eastAsiaTheme="minorHAnsi"/>
          <w:color w:val="333333"/>
          <w:szCs w:val="24"/>
          <w:shd w:val="clear" w:color="auto" w:fill="FFFFFF"/>
        </w:rPr>
        <w:t xml:space="preserve"> </w:t>
      </w:r>
      <w:r w:rsidR="007407A5">
        <w:rPr>
          <w:rFonts w:eastAsiaTheme="minorHAnsi"/>
          <w:color w:val="333333"/>
          <w:szCs w:val="24"/>
          <w:shd w:val="clear" w:color="auto" w:fill="FFFFFF"/>
        </w:rPr>
        <w:t>concluded</w:t>
      </w:r>
      <w:r w:rsidR="00D0270B">
        <w:rPr>
          <w:rFonts w:eastAsiaTheme="minorHAnsi"/>
          <w:color w:val="333333"/>
          <w:szCs w:val="24"/>
          <w:shd w:val="clear" w:color="auto" w:fill="FFFFFF"/>
        </w:rPr>
        <w:t xml:space="preserve"> that  biomechanical experts are not medical doctors and do not possess the reasonable qualifications to offer a medical opinion regarding the cause of specific injuries to a particular plaintiff</w:t>
      </w:r>
      <w:r w:rsidR="00D0270B" w:rsidRPr="00C614CA">
        <w:rPr>
          <w:rFonts w:eastAsiaTheme="minorHAnsi"/>
          <w:color w:val="333333"/>
          <w:szCs w:val="24"/>
          <w:shd w:val="clear" w:color="auto" w:fill="FFFFFF"/>
        </w:rPr>
        <w:t>, The a</w:t>
      </w:r>
      <w:r w:rsidR="00B542B4" w:rsidRPr="00C614CA">
        <w:rPr>
          <w:rFonts w:eastAsiaTheme="minorHAnsi"/>
          <w:color w:val="333333"/>
          <w:szCs w:val="24"/>
          <w:shd w:val="clear" w:color="auto" w:fill="FFFFFF"/>
        </w:rPr>
        <w:t>ppellate decision further states</w:t>
      </w:r>
      <w:r w:rsidR="00D0270B" w:rsidRPr="00C614CA">
        <w:rPr>
          <w:rFonts w:eastAsiaTheme="minorHAnsi"/>
          <w:color w:val="333333"/>
          <w:szCs w:val="24"/>
          <w:shd w:val="clear" w:color="auto" w:fill="FFFFFF"/>
        </w:rPr>
        <w:t xml:space="preserve"> that </w:t>
      </w:r>
      <w:r w:rsidR="00C614CA" w:rsidRPr="00C614CA">
        <w:rPr>
          <w:rFonts w:eastAsiaTheme="minorHAnsi"/>
          <w:szCs w:val="24"/>
        </w:rPr>
        <w:t>the fact that the expert  formulated his opinion in part</w:t>
      </w:r>
      <w:r w:rsidR="00F92CDF">
        <w:rPr>
          <w:rFonts w:eastAsiaTheme="minorHAnsi"/>
          <w:color w:val="333333"/>
          <w:szCs w:val="24"/>
          <w:shd w:val="clear" w:color="auto" w:fill="FFFFFF"/>
        </w:rPr>
        <w:t xml:space="preserve"> </w:t>
      </w:r>
      <w:r w:rsidR="00C614CA" w:rsidRPr="00C614CA">
        <w:rPr>
          <w:rFonts w:eastAsiaTheme="minorHAnsi"/>
          <w:szCs w:val="24"/>
        </w:rPr>
        <w:t>through reviewing a subset of the plaintiff’s medical records and other</w:t>
      </w:r>
      <w:r w:rsidR="00F92CDF">
        <w:rPr>
          <w:rFonts w:eastAsiaTheme="minorHAnsi"/>
          <w:color w:val="333333"/>
          <w:szCs w:val="24"/>
          <w:shd w:val="clear" w:color="auto" w:fill="FFFFFF"/>
        </w:rPr>
        <w:t xml:space="preserve"> </w:t>
      </w:r>
      <w:r w:rsidR="00C614CA" w:rsidRPr="00C614CA">
        <w:rPr>
          <w:rFonts w:eastAsiaTheme="minorHAnsi"/>
          <w:szCs w:val="24"/>
        </w:rPr>
        <w:t>documents related to the accident did not alter the analysis because the</w:t>
      </w:r>
      <w:r w:rsidR="00F92CDF">
        <w:rPr>
          <w:rFonts w:eastAsiaTheme="minorHAnsi"/>
          <w:color w:val="333333"/>
          <w:szCs w:val="24"/>
          <w:shd w:val="clear" w:color="auto" w:fill="FFFFFF"/>
        </w:rPr>
        <w:t xml:space="preserve"> </w:t>
      </w:r>
      <w:r w:rsidR="00F92CDF">
        <w:rPr>
          <w:rFonts w:eastAsiaTheme="minorHAnsi"/>
          <w:szCs w:val="24"/>
        </w:rPr>
        <w:t xml:space="preserve">record did not reflect that  the biomechanist </w:t>
      </w:r>
      <w:r w:rsidR="00C614CA" w:rsidRPr="00C614CA">
        <w:rPr>
          <w:rFonts w:eastAsiaTheme="minorHAnsi"/>
          <w:szCs w:val="24"/>
        </w:rPr>
        <w:t>possessed the medical training necessary to</w:t>
      </w:r>
      <w:r w:rsidR="00F92CDF">
        <w:rPr>
          <w:rFonts w:eastAsiaTheme="minorHAnsi"/>
          <w:color w:val="333333"/>
          <w:szCs w:val="24"/>
          <w:shd w:val="clear" w:color="auto" w:fill="FFFFFF"/>
        </w:rPr>
        <w:t xml:space="preserve"> </w:t>
      </w:r>
      <w:r w:rsidR="00C614CA" w:rsidRPr="00C614CA">
        <w:rPr>
          <w:rFonts w:eastAsiaTheme="minorHAnsi"/>
          <w:szCs w:val="24"/>
        </w:rPr>
        <w:t>identify the plaintiff’s individual tolerance level and preexisting medical</w:t>
      </w:r>
      <w:r w:rsidR="00F92CDF">
        <w:rPr>
          <w:rFonts w:eastAsiaTheme="minorHAnsi"/>
          <w:color w:val="333333"/>
          <w:szCs w:val="24"/>
          <w:shd w:val="clear" w:color="auto" w:fill="FFFFFF"/>
        </w:rPr>
        <w:t xml:space="preserve"> </w:t>
      </w:r>
      <w:r w:rsidR="00C614CA" w:rsidRPr="00C614CA">
        <w:rPr>
          <w:rFonts w:eastAsiaTheme="minorHAnsi"/>
          <w:szCs w:val="24"/>
        </w:rPr>
        <w:t>conditions, both of which could have had an effect on what injuries</w:t>
      </w:r>
      <w:r w:rsidR="00F92CDF">
        <w:rPr>
          <w:rFonts w:eastAsiaTheme="minorHAnsi"/>
          <w:color w:val="333333"/>
          <w:szCs w:val="24"/>
          <w:shd w:val="clear" w:color="auto" w:fill="FFFFFF"/>
        </w:rPr>
        <w:t xml:space="preserve"> </w:t>
      </w:r>
      <w:r w:rsidR="00C614CA" w:rsidRPr="00C614CA">
        <w:rPr>
          <w:rFonts w:eastAsiaTheme="minorHAnsi"/>
          <w:szCs w:val="24"/>
        </w:rPr>
        <w:t>resulted from the accident.</w:t>
      </w:r>
      <w:bookmarkStart w:id="0" w:name="_GoBack"/>
      <w:bookmarkEnd w:id="0"/>
    </w:p>
    <w:p w:rsidR="00A630AE" w:rsidRDefault="00A630AE" w:rsidP="00615094">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 xml:space="preserve">I encourage you to download and read the entire decision </w:t>
      </w:r>
      <w:r w:rsidRPr="00A630AE">
        <w:rPr>
          <w:rFonts w:eastAsiaTheme="minorHAnsi"/>
          <w:color w:val="333333"/>
          <w:sz w:val="16"/>
          <w:szCs w:val="16"/>
          <w:shd w:val="clear" w:color="auto" w:fill="FFFFFF"/>
        </w:rPr>
        <w:t>(</w:t>
      </w:r>
      <w:hyperlink r:id="rId9" w:history="1">
        <w:r w:rsidRPr="00A630AE">
          <w:rPr>
            <w:rStyle w:val="Hyperlink"/>
            <w:rFonts w:eastAsiaTheme="minorHAnsi"/>
            <w:sz w:val="16"/>
            <w:szCs w:val="16"/>
            <w:shd w:val="clear" w:color="auto" w:fill="FFFFFF"/>
          </w:rPr>
          <w:t>https://www.jud.ct.gov/external/supapp/Cases/AROap/A</w:t>
        </w:r>
        <w:r w:rsidRPr="00A630AE">
          <w:rPr>
            <w:rStyle w:val="Hyperlink"/>
            <w:rFonts w:eastAsiaTheme="minorHAnsi"/>
            <w:sz w:val="16"/>
            <w:szCs w:val="16"/>
            <w:shd w:val="clear" w:color="auto" w:fill="FFFFFF"/>
          </w:rPr>
          <w:t>P</w:t>
        </w:r>
        <w:r w:rsidRPr="00A630AE">
          <w:rPr>
            <w:rStyle w:val="Hyperlink"/>
            <w:rFonts w:eastAsiaTheme="minorHAnsi"/>
            <w:sz w:val="16"/>
            <w:szCs w:val="16"/>
            <w:shd w:val="clear" w:color="auto" w:fill="FFFFFF"/>
          </w:rPr>
          <w:t>1</w:t>
        </w:r>
        <w:r w:rsidRPr="00A630AE">
          <w:rPr>
            <w:rStyle w:val="Hyperlink"/>
            <w:rFonts w:eastAsiaTheme="minorHAnsi"/>
            <w:sz w:val="16"/>
            <w:szCs w:val="16"/>
            <w:shd w:val="clear" w:color="auto" w:fill="FFFFFF"/>
          </w:rPr>
          <w:t>76/176AP454.pdf</w:t>
        </w:r>
      </w:hyperlink>
      <w:r w:rsidR="00B542B4">
        <w:rPr>
          <w:rFonts w:eastAsiaTheme="minorHAnsi"/>
          <w:color w:val="333333"/>
          <w:szCs w:val="24"/>
          <w:shd w:val="clear" w:color="auto" w:fill="FFFFFF"/>
        </w:rPr>
        <w:t>)</w:t>
      </w:r>
      <w:r>
        <w:rPr>
          <w:rFonts w:eastAsiaTheme="minorHAnsi"/>
          <w:color w:val="333333"/>
          <w:szCs w:val="24"/>
          <w:shd w:val="clear" w:color="auto" w:fill="FFFFFF"/>
        </w:rPr>
        <w:t>. As there was no prior Connecticut case law, the appellate court looked at decisions from other states to formulate its decision. The verbiage from the other courts is helpful in understanding the wisdom of this decision. It also offers insight into strategies that may be used when the biomechanical expert may be permitted to testify, despite this decision.</w:t>
      </w:r>
    </w:p>
    <w:p w:rsidR="00624A66" w:rsidRDefault="00615094" w:rsidP="00615094">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T</w:t>
      </w:r>
      <w:r w:rsidR="00D0627F">
        <w:rPr>
          <w:rFonts w:eastAsiaTheme="minorHAnsi"/>
          <w:color w:val="333333"/>
          <w:szCs w:val="24"/>
          <w:shd w:val="clear" w:color="auto" w:fill="FFFFFF"/>
        </w:rPr>
        <w:t xml:space="preserve">he timing of this appellate decision is fortuitous </w:t>
      </w:r>
      <w:r>
        <w:rPr>
          <w:rFonts w:eastAsiaTheme="minorHAnsi"/>
          <w:color w:val="333333"/>
          <w:szCs w:val="24"/>
          <w:shd w:val="clear" w:color="auto" w:fill="FFFFFF"/>
        </w:rPr>
        <w:t xml:space="preserve">as I </w:t>
      </w:r>
      <w:r w:rsidR="00D0627F">
        <w:rPr>
          <w:rFonts w:eastAsiaTheme="minorHAnsi"/>
          <w:color w:val="333333"/>
          <w:szCs w:val="24"/>
          <w:shd w:val="clear" w:color="auto" w:fill="FFFFFF"/>
        </w:rPr>
        <w:t xml:space="preserve">recently published a 4 part newsletter series </w:t>
      </w:r>
      <w:r w:rsidR="007407A5">
        <w:rPr>
          <w:rFonts w:eastAsiaTheme="minorHAnsi"/>
          <w:color w:val="333333"/>
          <w:szCs w:val="24"/>
          <w:shd w:val="clear" w:color="auto" w:fill="FFFFFF"/>
        </w:rPr>
        <w:t>on b</w:t>
      </w:r>
      <w:r>
        <w:rPr>
          <w:rFonts w:eastAsiaTheme="minorHAnsi"/>
          <w:color w:val="333333"/>
          <w:szCs w:val="24"/>
          <w:shd w:val="clear" w:color="auto" w:fill="FFFFFF"/>
        </w:rPr>
        <w:t xml:space="preserve">iomechanics </w:t>
      </w:r>
      <w:r w:rsidR="00D0627F">
        <w:rPr>
          <w:rFonts w:eastAsiaTheme="minorHAnsi"/>
          <w:color w:val="333333"/>
          <w:szCs w:val="24"/>
          <w:shd w:val="clear" w:color="auto" w:fill="FFFFFF"/>
        </w:rPr>
        <w:t>that provided the tools to rebut</w:t>
      </w:r>
      <w:r w:rsidR="007407A5">
        <w:rPr>
          <w:rFonts w:eastAsiaTheme="minorHAnsi"/>
          <w:color w:val="333333"/>
          <w:szCs w:val="24"/>
          <w:shd w:val="clear" w:color="auto" w:fill="FFFFFF"/>
        </w:rPr>
        <w:t xml:space="preserve"> the full scope of biomechanical engineer opinions</w:t>
      </w:r>
      <w:r w:rsidR="00D0627F">
        <w:rPr>
          <w:rFonts w:eastAsiaTheme="minorHAnsi"/>
          <w:color w:val="333333"/>
          <w:szCs w:val="24"/>
          <w:shd w:val="clear" w:color="auto" w:fill="FFFFFF"/>
        </w:rPr>
        <w:t xml:space="preserve">. In those </w:t>
      </w:r>
      <w:r w:rsidR="00D0627F">
        <w:rPr>
          <w:rFonts w:eastAsiaTheme="minorHAnsi"/>
          <w:color w:val="333333"/>
          <w:szCs w:val="24"/>
          <w:shd w:val="clear" w:color="auto" w:fill="FFFFFF"/>
        </w:rPr>
        <w:lastRenderedPageBreak/>
        <w:t>newsletters I addressed the issues surrounding the science of biomechanics as well as its app</w:t>
      </w:r>
      <w:r w:rsidR="007407A5">
        <w:rPr>
          <w:rFonts w:eastAsiaTheme="minorHAnsi"/>
          <w:color w:val="333333"/>
          <w:szCs w:val="24"/>
          <w:shd w:val="clear" w:color="auto" w:fill="FFFFFF"/>
        </w:rPr>
        <w:t xml:space="preserve">lication to individual patients. This is a landmark appellate decision that will be used by Connecticut plaintiff attorneys for years to come and will </w:t>
      </w:r>
      <w:r w:rsidR="004D47FF">
        <w:rPr>
          <w:rFonts w:eastAsiaTheme="minorHAnsi"/>
          <w:color w:val="333333"/>
          <w:szCs w:val="24"/>
          <w:shd w:val="clear" w:color="auto" w:fill="FFFFFF"/>
        </w:rPr>
        <w:t xml:space="preserve">assist in </w:t>
      </w:r>
      <w:r w:rsidR="007407A5">
        <w:rPr>
          <w:rFonts w:eastAsiaTheme="minorHAnsi"/>
          <w:color w:val="333333"/>
          <w:szCs w:val="24"/>
          <w:shd w:val="clear" w:color="auto" w:fill="FFFFFF"/>
        </w:rPr>
        <w:t>prevent</w:t>
      </w:r>
      <w:r w:rsidR="004D47FF">
        <w:rPr>
          <w:rFonts w:eastAsiaTheme="minorHAnsi"/>
          <w:color w:val="333333"/>
          <w:szCs w:val="24"/>
          <w:shd w:val="clear" w:color="auto" w:fill="FFFFFF"/>
        </w:rPr>
        <w:t>ing</w:t>
      </w:r>
      <w:r w:rsidR="007407A5">
        <w:rPr>
          <w:rFonts w:eastAsiaTheme="minorHAnsi"/>
          <w:color w:val="333333"/>
          <w:szCs w:val="24"/>
          <w:shd w:val="clear" w:color="auto" w:fill="FFFFFF"/>
        </w:rPr>
        <w:t xml:space="preserve"> causation opinions being presented by biomechanics expert</w:t>
      </w:r>
      <w:r w:rsidR="004D47FF">
        <w:rPr>
          <w:rFonts w:eastAsiaTheme="minorHAnsi"/>
          <w:color w:val="333333"/>
          <w:szCs w:val="24"/>
          <w:shd w:val="clear" w:color="auto" w:fill="FFFFFF"/>
        </w:rPr>
        <w:t>s</w:t>
      </w:r>
      <w:r w:rsidR="007407A5">
        <w:rPr>
          <w:rFonts w:eastAsiaTheme="minorHAnsi"/>
          <w:color w:val="333333"/>
          <w:szCs w:val="24"/>
          <w:shd w:val="clear" w:color="auto" w:fill="FFFFFF"/>
        </w:rPr>
        <w:t xml:space="preserve">. However, it does not fully address the use of biomechanics experts in </w:t>
      </w:r>
      <w:r w:rsidR="00A630AE">
        <w:rPr>
          <w:rFonts w:eastAsiaTheme="minorHAnsi"/>
          <w:color w:val="333333"/>
          <w:szCs w:val="24"/>
          <w:shd w:val="clear" w:color="auto" w:fill="FFFFFF"/>
        </w:rPr>
        <w:t xml:space="preserve">the </w:t>
      </w:r>
      <w:r w:rsidR="007407A5">
        <w:rPr>
          <w:rFonts w:eastAsiaTheme="minorHAnsi"/>
          <w:color w:val="333333"/>
          <w:szCs w:val="24"/>
          <w:shd w:val="clear" w:color="auto" w:fill="FFFFFF"/>
        </w:rPr>
        <w:t xml:space="preserve">areas </w:t>
      </w:r>
      <w:r w:rsidR="00A630AE">
        <w:rPr>
          <w:rFonts w:eastAsiaTheme="minorHAnsi"/>
          <w:color w:val="333333"/>
          <w:szCs w:val="24"/>
          <w:shd w:val="clear" w:color="auto" w:fill="FFFFFF"/>
        </w:rPr>
        <w:t xml:space="preserve">that </w:t>
      </w:r>
      <w:r w:rsidR="007407A5">
        <w:rPr>
          <w:rFonts w:eastAsiaTheme="minorHAnsi"/>
          <w:color w:val="333333"/>
          <w:szCs w:val="24"/>
          <w:shd w:val="clear" w:color="auto" w:fill="FFFFFF"/>
        </w:rPr>
        <w:t>they are qualified to testify and that may be prejudicial to a judge or jury</w:t>
      </w:r>
      <w:r w:rsidR="004D47FF">
        <w:rPr>
          <w:rFonts w:eastAsiaTheme="minorHAnsi"/>
          <w:color w:val="333333"/>
          <w:szCs w:val="24"/>
          <w:shd w:val="clear" w:color="auto" w:fill="FFFFFF"/>
        </w:rPr>
        <w:t>, if allowed to testify</w:t>
      </w:r>
      <w:r w:rsidR="007407A5">
        <w:rPr>
          <w:rFonts w:eastAsiaTheme="minorHAnsi"/>
          <w:color w:val="333333"/>
          <w:szCs w:val="24"/>
          <w:shd w:val="clear" w:color="auto" w:fill="FFFFFF"/>
        </w:rPr>
        <w:t>.</w:t>
      </w:r>
    </w:p>
    <w:p w:rsidR="00A630AE" w:rsidRDefault="00A630AE" w:rsidP="00615094">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 xml:space="preserve">If allowed to testify within the scope of their expertise and to offer general opinions about forces and human tolerances the prejudicial effect can be harmful. Therefore, I encourage you to familiarize yourself with the topics covered in my prior 4 newsletters. You should be familiar with the misapplication of science and math that is often </w:t>
      </w:r>
      <w:r w:rsidR="00FE178F">
        <w:rPr>
          <w:rFonts w:eastAsiaTheme="minorHAnsi"/>
          <w:color w:val="333333"/>
          <w:szCs w:val="24"/>
          <w:shd w:val="clear" w:color="auto" w:fill="FFFFFF"/>
        </w:rPr>
        <w:t>attempted by biomechanical experts to support their opinions on behalf of their client’s interests. Common misapplications or misrepresentations include:</w:t>
      </w:r>
    </w:p>
    <w:p w:rsidR="00FE178F" w:rsidRDefault="00FE178F" w:rsidP="00FE178F">
      <w:pPr>
        <w:pStyle w:val="ListParagraph"/>
        <w:numPr>
          <w:ilvl w:val="0"/>
          <w:numId w:val="12"/>
        </w:numPr>
        <w:spacing w:after="200" w:line="276" w:lineRule="auto"/>
        <w:ind w:right="-720"/>
        <w:rPr>
          <w:rFonts w:eastAsiaTheme="minorHAnsi"/>
          <w:color w:val="333333"/>
          <w:szCs w:val="24"/>
          <w:shd w:val="clear" w:color="auto" w:fill="FFFFFF"/>
        </w:rPr>
      </w:pPr>
      <w:r>
        <w:rPr>
          <w:rFonts w:eastAsiaTheme="minorHAnsi"/>
          <w:color w:val="333333"/>
          <w:szCs w:val="24"/>
          <w:shd w:val="clear" w:color="auto" w:fill="FFFFFF"/>
        </w:rPr>
        <w:t>Using absolute accelerations rather than ranges of accelerations</w:t>
      </w:r>
    </w:p>
    <w:p w:rsidR="00FE178F" w:rsidRDefault="00FE178F" w:rsidP="00FE178F">
      <w:pPr>
        <w:pStyle w:val="ListParagraph"/>
        <w:numPr>
          <w:ilvl w:val="0"/>
          <w:numId w:val="12"/>
        </w:numPr>
        <w:spacing w:after="200" w:line="276" w:lineRule="auto"/>
        <w:ind w:right="-720"/>
        <w:rPr>
          <w:rFonts w:eastAsiaTheme="minorHAnsi"/>
          <w:color w:val="333333"/>
          <w:szCs w:val="24"/>
          <w:shd w:val="clear" w:color="auto" w:fill="FFFFFF"/>
        </w:rPr>
      </w:pPr>
      <w:r>
        <w:rPr>
          <w:rFonts w:eastAsiaTheme="minorHAnsi"/>
          <w:color w:val="333333"/>
          <w:szCs w:val="24"/>
          <w:shd w:val="clear" w:color="auto" w:fill="FFFFFF"/>
        </w:rPr>
        <w:t>Using average accelerations rather than peak accelerations</w:t>
      </w:r>
    </w:p>
    <w:p w:rsidR="00FE178F" w:rsidRDefault="00FE178F" w:rsidP="00FE178F">
      <w:pPr>
        <w:pStyle w:val="ListParagraph"/>
        <w:numPr>
          <w:ilvl w:val="0"/>
          <w:numId w:val="12"/>
        </w:numPr>
        <w:spacing w:after="200" w:line="276" w:lineRule="auto"/>
        <w:ind w:right="-720"/>
        <w:rPr>
          <w:rFonts w:eastAsiaTheme="minorHAnsi"/>
          <w:color w:val="333333"/>
          <w:szCs w:val="24"/>
          <w:shd w:val="clear" w:color="auto" w:fill="FFFFFF"/>
        </w:rPr>
      </w:pPr>
      <w:r>
        <w:rPr>
          <w:rFonts w:eastAsiaTheme="minorHAnsi"/>
          <w:color w:val="333333"/>
          <w:szCs w:val="24"/>
          <w:shd w:val="clear" w:color="auto" w:fill="FFFFFF"/>
        </w:rPr>
        <w:t>Using vehicle accelerations rather than occupant accelerations</w:t>
      </w:r>
    </w:p>
    <w:p w:rsidR="00FE178F" w:rsidRDefault="00FE178F" w:rsidP="00FE178F">
      <w:pPr>
        <w:pStyle w:val="ListParagraph"/>
        <w:numPr>
          <w:ilvl w:val="0"/>
          <w:numId w:val="12"/>
        </w:numPr>
        <w:spacing w:after="200" w:line="276" w:lineRule="auto"/>
        <w:ind w:right="-720"/>
        <w:rPr>
          <w:rFonts w:eastAsiaTheme="minorHAnsi"/>
          <w:color w:val="333333"/>
          <w:szCs w:val="24"/>
          <w:shd w:val="clear" w:color="auto" w:fill="FFFFFF"/>
        </w:rPr>
      </w:pPr>
      <w:r>
        <w:rPr>
          <w:rFonts w:eastAsiaTheme="minorHAnsi"/>
          <w:color w:val="333333"/>
          <w:szCs w:val="24"/>
          <w:shd w:val="clear" w:color="auto" w:fill="FFFFFF"/>
        </w:rPr>
        <w:t xml:space="preserve">Discounting occupant and non-occupant factors in injury potential (PDOF, positioning, preparedness, multiple impacts, road conditions, head restraint position, seat back angle, pre-morbid conditions, </w:t>
      </w:r>
      <w:proofErr w:type="spellStart"/>
      <w:r>
        <w:rPr>
          <w:rFonts w:eastAsiaTheme="minorHAnsi"/>
          <w:color w:val="333333"/>
          <w:szCs w:val="24"/>
          <w:shd w:val="clear" w:color="auto" w:fill="FFFFFF"/>
        </w:rPr>
        <w:t>etc</w:t>
      </w:r>
      <w:proofErr w:type="spellEnd"/>
      <w:r>
        <w:rPr>
          <w:rFonts w:eastAsiaTheme="minorHAnsi"/>
          <w:color w:val="333333"/>
          <w:szCs w:val="24"/>
          <w:shd w:val="clear" w:color="auto" w:fill="FFFFFF"/>
        </w:rPr>
        <w:t>)</w:t>
      </w:r>
    </w:p>
    <w:p w:rsidR="004D47FF" w:rsidRDefault="00FE178F" w:rsidP="004D47FF">
      <w:pPr>
        <w:pStyle w:val="ListParagraph"/>
        <w:numPr>
          <w:ilvl w:val="0"/>
          <w:numId w:val="12"/>
        </w:numPr>
        <w:spacing w:after="200" w:line="276" w:lineRule="auto"/>
        <w:ind w:right="-720"/>
        <w:rPr>
          <w:rFonts w:eastAsiaTheme="minorHAnsi"/>
          <w:color w:val="333333"/>
          <w:szCs w:val="24"/>
          <w:shd w:val="clear" w:color="auto" w:fill="FFFFFF"/>
        </w:rPr>
      </w:pPr>
      <w:r>
        <w:rPr>
          <w:rFonts w:eastAsiaTheme="minorHAnsi"/>
          <w:color w:val="333333"/>
          <w:szCs w:val="24"/>
          <w:shd w:val="clear" w:color="auto" w:fill="FFFFFF"/>
        </w:rPr>
        <w:t>Not considering restitution (elastic versus plastic) in low speed collisions</w:t>
      </w:r>
    </w:p>
    <w:p w:rsidR="004D47FF" w:rsidRPr="004D47FF" w:rsidRDefault="004D47FF" w:rsidP="004D47FF">
      <w:pPr>
        <w:pStyle w:val="ListParagraph"/>
        <w:spacing w:after="200" w:line="276" w:lineRule="auto"/>
        <w:ind w:left="-360" w:right="-720"/>
        <w:rPr>
          <w:rFonts w:eastAsiaTheme="minorHAnsi"/>
          <w:color w:val="333333"/>
          <w:szCs w:val="24"/>
          <w:shd w:val="clear" w:color="auto" w:fill="FFFFFF"/>
        </w:rPr>
      </w:pPr>
    </w:p>
    <w:p w:rsidR="00127C3F" w:rsidRPr="004D47FF" w:rsidRDefault="00FE178F" w:rsidP="004D47FF">
      <w:pPr>
        <w:spacing w:after="200" w:line="276" w:lineRule="auto"/>
        <w:ind w:left="-720" w:right="-720"/>
        <w:rPr>
          <w:rFonts w:eastAsiaTheme="minorHAnsi"/>
          <w:color w:val="333333"/>
          <w:szCs w:val="24"/>
          <w:shd w:val="clear" w:color="auto" w:fill="FFFFFF"/>
        </w:rPr>
      </w:pPr>
      <w:r w:rsidRPr="004D47FF">
        <w:rPr>
          <w:rFonts w:eastAsiaTheme="minorHAnsi"/>
          <w:shd w:val="clear" w:color="auto" w:fill="FFFFFF"/>
        </w:rPr>
        <w:t>I could go on but suffice to say that the information you need is available in my prior 4 newsletters</w:t>
      </w:r>
      <w:r w:rsidR="004D47FF">
        <w:rPr>
          <w:rFonts w:eastAsiaTheme="minorHAnsi"/>
          <w:shd w:val="clear" w:color="auto" w:fill="FFFFFF"/>
        </w:rPr>
        <w:t>. Alternatively you can call</w:t>
      </w:r>
      <w:r w:rsidRPr="004D47FF">
        <w:rPr>
          <w:rFonts w:eastAsiaTheme="minorHAnsi"/>
          <w:shd w:val="clear" w:color="auto" w:fill="FFFFFF"/>
        </w:rPr>
        <w:t xml:space="preserve"> me directly to discuss your specific case and the biomechanical expert</w:t>
      </w:r>
      <w:r w:rsidR="004D47FF">
        <w:rPr>
          <w:rFonts w:eastAsiaTheme="minorHAnsi"/>
          <w:shd w:val="clear" w:color="auto" w:fill="FFFFFF"/>
        </w:rPr>
        <w:t xml:space="preserve">’s opinions. </w:t>
      </w:r>
      <w:r w:rsidRPr="004D47FF">
        <w:rPr>
          <w:rFonts w:eastAsiaTheme="minorHAnsi"/>
          <w:shd w:val="clear" w:color="auto" w:fill="FFFFFF"/>
        </w:rPr>
        <w:t>More often than not, there are important factors</w:t>
      </w:r>
      <w:r w:rsidR="004D47FF">
        <w:rPr>
          <w:rFonts w:eastAsiaTheme="minorHAnsi"/>
          <w:shd w:val="clear" w:color="auto" w:fill="FFFFFF"/>
        </w:rPr>
        <w:t xml:space="preserve"> </w:t>
      </w:r>
      <w:r w:rsidRPr="004D47FF">
        <w:rPr>
          <w:rFonts w:eastAsiaTheme="minorHAnsi"/>
          <w:shd w:val="clear" w:color="auto" w:fill="FFFFFF"/>
        </w:rPr>
        <w:t xml:space="preserve">that are not considered in those reports and there are opinions that are the result from </w:t>
      </w:r>
      <w:r w:rsidR="004D47FF">
        <w:rPr>
          <w:rFonts w:eastAsiaTheme="minorHAnsi"/>
          <w:shd w:val="clear" w:color="auto" w:fill="FFFFFF"/>
        </w:rPr>
        <w:t xml:space="preserve">the omission </w:t>
      </w:r>
      <w:r w:rsidRPr="004D47FF">
        <w:rPr>
          <w:rFonts w:eastAsiaTheme="minorHAnsi"/>
          <w:shd w:val="clear" w:color="auto" w:fill="FFFFFF"/>
        </w:rPr>
        <w:t xml:space="preserve">of important data. </w:t>
      </w:r>
    </w:p>
    <w:sectPr w:rsidR="00127C3F" w:rsidRPr="004D47FF"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CA" w:rsidRDefault="00C614CA" w:rsidP="000D2081">
      <w:r>
        <w:separator/>
      </w:r>
    </w:p>
  </w:endnote>
  <w:endnote w:type="continuationSeparator" w:id="0">
    <w:p w:rsidR="00C614CA" w:rsidRDefault="00C614CA"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Book">
    <w:panose1 w:val="00000000000000000000"/>
    <w:charset w:val="00"/>
    <w:family w:val="auto"/>
    <w:notTrueType/>
    <w:pitch w:val="default"/>
    <w:sig w:usb0="00000003" w:usb1="00000000" w:usb2="00000000" w:usb3="00000000" w:csb0="00000001" w:csb1="00000000"/>
  </w:font>
  <w:font w:name="Century-Book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CA" w:rsidRDefault="00C614CA"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BD11290" wp14:editId="5EC1EC29">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C614CA" w:rsidRPr="00AC28FF" w:rsidRDefault="00C614CA"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w:t>
    </w:r>
  </w:p>
  <w:p w:rsidR="00C614CA" w:rsidRPr="00AC28FF" w:rsidRDefault="00C614CA"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C614CA" w:rsidRPr="00AC28FF" w:rsidRDefault="00C614CA"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CA" w:rsidRDefault="00C614CA" w:rsidP="000D2081">
      <w:r>
        <w:separator/>
      </w:r>
    </w:p>
  </w:footnote>
  <w:footnote w:type="continuationSeparator" w:id="0">
    <w:p w:rsidR="00C614CA" w:rsidRDefault="00C614CA"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CA" w:rsidRDefault="00C614CA"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7F5F6477" wp14:editId="099E1AFA">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2" name="Picture 2"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4CA" w:rsidRDefault="00C614CA" w:rsidP="000D2081">
    <w:pPr>
      <w:ind w:left="-810" w:right="-990"/>
      <w:jc w:val="center"/>
      <w:rPr>
        <w:b/>
        <w:color w:val="FF0000"/>
        <w:sz w:val="18"/>
        <w:szCs w:val="18"/>
      </w:rPr>
    </w:pPr>
  </w:p>
  <w:p w:rsidR="00C614CA" w:rsidRDefault="00C614CA" w:rsidP="000D2081">
    <w:pPr>
      <w:ind w:left="-810" w:right="-990"/>
      <w:jc w:val="center"/>
      <w:rPr>
        <w:b/>
        <w:color w:val="FF0000"/>
        <w:sz w:val="18"/>
        <w:szCs w:val="18"/>
      </w:rPr>
    </w:pPr>
  </w:p>
  <w:p w:rsidR="00C614CA" w:rsidRDefault="00C614CA" w:rsidP="000D2081">
    <w:pPr>
      <w:ind w:left="-810" w:right="-990"/>
      <w:jc w:val="center"/>
      <w:rPr>
        <w:b/>
        <w:color w:val="FF0000"/>
        <w:sz w:val="18"/>
        <w:szCs w:val="18"/>
      </w:rPr>
    </w:pPr>
  </w:p>
  <w:p w:rsidR="00C614CA" w:rsidRDefault="00C614CA" w:rsidP="00AF7111">
    <w:pPr>
      <w:tabs>
        <w:tab w:val="left" w:pos="1170"/>
      </w:tabs>
      <w:ind w:left="-810" w:right="-990"/>
      <w:rPr>
        <w:b/>
        <w:color w:val="FF0000"/>
        <w:sz w:val="18"/>
        <w:szCs w:val="18"/>
      </w:rPr>
    </w:pPr>
    <w:r>
      <w:rPr>
        <w:b/>
        <w:color w:val="FF0000"/>
        <w:sz w:val="18"/>
        <w:szCs w:val="18"/>
      </w:rPr>
      <w:tab/>
    </w:r>
  </w:p>
  <w:p w:rsidR="00C614CA" w:rsidRDefault="00C614CA" w:rsidP="00AF7111">
    <w:pPr>
      <w:tabs>
        <w:tab w:val="left" w:pos="1170"/>
      </w:tabs>
      <w:ind w:left="-810" w:right="-990"/>
      <w:rPr>
        <w:b/>
        <w:color w:val="FF0000"/>
        <w:sz w:val="18"/>
        <w:szCs w:val="18"/>
      </w:rPr>
    </w:pPr>
  </w:p>
  <w:p w:rsidR="00C614CA" w:rsidRDefault="00C614CA" w:rsidP="000D2081">
    <w:pPr>
      <w:ind w:left="-810" w:right="-990"/>
      <w:jc w:val="center"/>
      <w:rPr>
        <w:b/>
        <w:color w:val="FF0000"/>
        <w:sz w:val="18"/>
        <w:szCs w:val="18"/>
      </w:rPr>
    </w:pPr>
  </w:p>
  <w:p w:rsidR="00C614CA" w:rsidRDefault="00C614CA"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117D921C" wp14:editId="195AF2DF">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C614CA" w:rsidRPr="003A3862" w:rsidRDefault="00C614CA"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C614CA" w:rsidRDefault="00C614CA"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1241F6A" wp14:editId="71D60D81">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5"/>
  </w:num>
  <w:num w:numId="6">
    <w:abstractNumId w:val="8"/>
  </w:num>
  <w:num w:numId="7">
    <w:abstractNumId w:val="0"/>
  </w:num>
  <w:num w:numId="8">
    <w:abstractNumId w:val="4"/>
  </w:num>
  <w:num w:numId="9">
    <w:abstractNumId w:val="1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10CE1"/>
    <w:rsid w:val="0001602A"/>
    <w:rsid w:val="0002476D"/>
    <w:rsid w:val="00027087"/>
    <w:rsid w:val="00031BFD"/>
    <w:rsid w:val="00033AE2"/>
    <w:rsid w:val="0007758F"/>
    <w:rsid w:val="000821EC"/>
    <w:rsid w:val="000843DE"/>
    <w:rsid w:val="000A2641"/>
    <w:rsid w:val="000A4C94"/>
    <w:rsid w:val="000A6D89"/>
    <w:rsid w:val="000C76E8"/>
    <w:rsid w:val="000D0BB1"/>
    <w:rsid w:val="000D2081"/>
    <w:rsid w:val="000D6617"/>
    <w:rsid w:val="00115B80"/>
    <w:rsid w:val="00120558"/>
    <w:rsid w:val="00127C3F"/>
    <w:rsid w:val="00135ACB"/>
    <w:rsid w:val="00143877"/>
    <w:rsid w:val="00147B16"/>
    <w:rsid w:val="00160195"/>
    <w:rsid w:val="001617B4"/>
    <w:rsid w:val="00162390"/>
    <w:rsid w:val="001708BE"/>
    <w:rsid w:val="00172683"/>
    <w:rsid w:val="00174267"/>
    <w:rsid w:val="00174648"/>
    <w:rsid w:val="001752CA"/>
    <w:rsid w:val="00180BC1"/>
    <w:rsid w:val="001900A6"/>
    <w:rsid w:val="001A0268"/>
    <w:rsid w:val="001A1D5D"/>
    <w:rsid w:val="001B2696"/>
    <w:rsid w:val="001B7580"/>
    <w:rsid w:val="001C499F"/>
    <w:rsid w:val="001D55A5"/>
    <w:rsid w:val="001D6E23"/>
    <w:rsid w:val="002030D6"/>
    <w:rsid w:val="00220A43"/>
    <w:rsid w:val="0023207E"/>
    <w:rsid w:val="0024470B"/>
    <w:rsid w:val="00260C5C"/>
    <w:rsid w:val="0027555D"/>
    <w:rsid w:val="00291A05"/>
    <w:rsid w:val="00292FAF"/>
    <w:rsid w:val="002A07E5"/>
    <w:rsid w:val="002A2D1E"/>
    <w:rsid w:val="002B4260"/>
    <w:rsid w:val="002D2E50"/>
    <w:rsid w:val="002D4E8A"/>
    <w:rsid w:val="002D56A9"/>
    <w:rsid w:val="002E6C0A"/>
    <w:rsid w:val="00312649"/>
    <w:rsid w:val="00315D5D"/>
    <w:rsid w:val="00316B54"/>
    <w:rsid w:val="00321003"/>
    <w:rsid w:val="003309A7"/>
    <w:rsid w:val="00332BA1"/>
    <w:rsid w:val="00335212"/>
    <w:rsid w:val="00340101"/>
    <w:rsid w:val="00350BFF"/>
    <w:rsid w:val="003540F9"/>
    <w:rsid w:val="003573CF"/>
    <w:rsid w:val="0036352A"/>
    <w:rsid w:val="003702C8"/>
    <w:rsid w:val="00371043"/>
    <w:rsid w:val="0037710B"/>
    <w:rsid w:val="003921F6"/>
    <w:rsid w:val="0039255D"/>
    <w:rsid w:val="00396EBD"/>
    <w:rsid w:val="003A0F6B"/>
    <w:rsid w:val="003B73AB"/>
    <w:rsid w:val="003C134B"/>
    <w:rsid w:val="003E7121"/>
    <w:rsid w:val="003F7537"/>
    <w:rsid w:val="00415A27"/>
    <w:rsid w:val="00415B7A"/>
    <w:rsid w:val="00426820"/>
    <w:rsid w:val="004423E9"/>
    <w:rsid w:val="004505DC"/>
    <w:rsid w:val="004632E5"/>
    <w:rsid w:val="00464443"/>
    <w:rsid w:val="0046539B"/>
    <w:rsid w:val="0047636C"/>
    <w:rsid w:val="0048217F"/>
    <w:rsid w:val="0048567E"/>
    <w:rsid w:val="00492B9B"/>
    <w:rsid w:val="004A3747"/>
    <w:rsid w:val="004D1C2D"/>
    <w:rsid w:val="004D47FF"/>
    <w:rsid w:val="004E0A00"/>
    <w:rsid w:val="004E78CD"/>
    <w:rsid w:val="004F24D4"/>
    <w:rsid w:val="004F31C8"/>
    <w:rsid w:val="004F77F4"/>
    <w:rsid w:val="00507DA1"/>
    <w:rsid w:val="0052471A"/>
    <w:rsid w:val="00530B01"/>
    <w:rsid w:val="00533F92"/>
    <w:rsid w:val="00537265"/>
    <w:rsid w:val="00545813"/>
    <w:rsid w:val="005549E8"/>
    <w:rsid w:val="00566AF6"/>
    <w:rsid w:val="00567B8A"/>
    <w:rsid w:val="00586F9E"/>
    <w:rsid w:val="00587D34"/>
    <w:rsid w:val="00592D7B"/>
    <w:rsid w:val="005B6426"/>
    <w:rsid w:val="005C2E30"/>
    <w:rsid w:val="005D4816"/>
    <w:rsid w:val="005D5F01"/>
    <w:rsid w:val="005E1B61"/>
    <w:rsid w:val="005E2F34"/>
    <w:rsid w:val="005F7C44"/>
    <w:rsid w:val="00612179"/>
    <w:rsid w:val="00615094"/>
    <w:rsid w:val="00620587"/>
    <w:rsid w:val="00624A66"/>
    <w:rsid w:val="00642E78"/>
    <w:rsid w:val="00654395"/>
    <w:rsid w:val="00654515"/>
    <w:rsid w:val="00666F47"/>
    <w:rsid w:val="006760B5"/>
    <w:rsid w:val="00681408"/>
    <w:rsid w:val="006A2B2D"/>
    <w:rsid w:val="006A309E"/>
    <w:rsid w:val="006B2217"/>
    <w:rsid w:val="006B65A2"/>
    <w:rsid w:val="006B7321"/>
    <w:rsid w:val="006C4A59"/>
    <w:rsid w:val="006E2001"/>
    <w:rsid w:val="006E2FF6"/>
    <w:rsid w:val="006F2375"/>
    <w:rsid w:val="006F5B8F"/>
    <w:rsid w:val="006F6239"/>
    <w:rsid w:val="00701EFF"/>
    <w:rsid w:val="00720C09"/>
    <w:rsid w:val="00735C3B"/>
    <w:rsid w:val="007407A5"/>
    <w:rsid w:val="00743ED4"/>
    <w:rsid w:val="00780E8F"/>
    <w:rsid w:val="00783304"/>
    <w:rsid w:val="0079475C"/>
    <w:rsid w:val="00794918"/>
    <w:rsid w:val="007A60D0"/>
    <w:rsid w:val="007B2D4F"/>
    <w:rsid w:val="007E050F"/>
    <w:rsid w:val="007E78AD"/>
    <w:rsid w:val="007F4EF5"/>
    <w:rsid w:val="007F5498"/>
    <w:rsid w:val="00801BEE"/>
    <w:rsid w:val="00830051"/>
    <w:rsid w:val="00831800"/>
    <w:rsid w:val="008356A3"/>
    <w:rsid w:val="008378B5"/>
    <w:rsid w:val="0084154D"/>
    <w:rsid w:val="0086045B"/>
    <w:rsid w:val="00870564"/>
    <w:rsid w:val="00873547"/>
    <w:rsid w:val="008767E1"/>
    <w:rsid w:val="00882964"/>
    <w:rsid w:val="0088566D"/>
    <w:rsid w:val="00885CFC"/>
    <w:rsid w:val="00890E0A"/>
    <w:rsid w:val="00896D67"/>
    <w:rsid w:val="00897F7F"/>
    <w:rsid w:val="008A03DD"/>
    <w:rsid w:val="008A14A4"/>
    <w:rsid w:val="008B4146"/>
    <w:rsid w:val="008C7054"/>
    <w:rsid w:val="008D126A"/>
    <w:rsid w:val="008D35CF"/>
    <w:rsid w:val="008E16A7"/>
    <w:rsid w:val="008E7B86"/>
    <w:rsid w:val="008F10F9"/>
    <w:rsid w:val="0090376E"/>
    <w:rsid w:val="00917973"/>
    <w:rsid w:val="0094061B"/>
    <w:rsid w:val="00942C84"/>
    <w:rsid w:val="00943561"/>
    <w:rsid w:val="00964C9F"/>
    <w:rsid w:val="009669D4"/>
    <w:rsid w:val="009726EE"/>
    <w:rsid w:val="00974D7E"/>
    <w:rsid w:val="009800F0"/>
    <w:rsid w:val="00980109"/>
    <w:rsid w:val="009907B9"/>
    <w:rsid w:val="009932F2"/>
    <w:rsid w:val="00996157"/>
    <w:rsid w:val="009A43C8"/>
    <w:rsid w:val="009B5E32"/>
    <w:rsid w:val="009D2330"/>
    <w:rsid w:val="009D54E0"/>
    <w:rsid w:val="009E087E"/>
    <w:rsid w:val="009E5516"/>
    <w:rsid w:val="009F024C"/>
    <w:rsid w:val="00A05D69"/>
    <w:rsid w:val="00A10D52"/>
    <w:rsid w:val="00A20C0B"/>
    <w:rsid w:val="00A23BAC"/>
    <w:rsid w:val="00A25DD7"/>
    <w:rsid w:val="00A629BE"/>
    <w:rsid w:val="00A630AE"/>
    <w:rsid w:val="00A64E6A"/>
    <w:rsid w:val="00A75B42"/>
    <w:rsid w:val="00A82119"/>
    <w:rsid w:val="00A85A4A"/>
    <w:rsid w:val="00AA6682"/>
    <w:rsid w:val="00AC28FF"/>
    <w:rsid w:val="00AC54F4"/>
    <w:rsid w:val="00AD0369"/>
    <w:rsid w:val="00AE29F4"/>
    <w:rsid w:val="00AF0730"/>
    <w:rsid w:val="00AF33D7"/>
    <w:rsid w:val="00AF7111"/>
    <w:rsid w:val="00B030F3"/>
    <w:rsid w:val="00B10E5A"/>
    <w:rsid w:val="00B2431D"/>
    <w:rsid w:val="00B46792"/>
    <w:rsid w:val="00B5310E"/>
    <w:rsid w:val="00B5319F"/>
    <w:rsid w:val="00B542B4"/>
    <w:rsid w:val="00B552AD"/>
    <w:rsid w:val="00B5740F"/>
    <w:rsid w:val="00B61D8E"/>
    <w:rsid w:val="00B661B6"/>
    <w:rsid w:val="00B95399"/>
    <w:rsid w:val="00BB7B07"/>
    <w:rsid w:val="00BD7D03"/>
    <w:rsid w:val="00BE0B7C"/>
    <w:rsid w:val="00BF0717"/>
    <w:rsid w:val="00BF3C42"/>
    <w:rsid w:val="00BF4428"/>
    <w:rsid w:val="00C052A7"/>
    <w:rsid w:val="00C13680"/>
    <w:rsid w:val="00C13A19"/>
    <w:rsid w:val="00C16B05"/>
    <w:rsid w:val="00C33075"/>
    <w:rsid w:val="00C40150"/>
    <w:rsid w:val="00C43F73"/>
    <w:rsid w:val="00C44D22"/>
    <w:rsid w:val="00C543AD"/>
    <w:rsid w:val="00C563AD"/>
    <w:rsid w:val="00C57799"/>
    <w:rsid w:val="00C60875"/>
    <w:rsid w:val="00C614CA"/>
    <w:rsid w:val="00C6571E"/>
    <w:rsid w:val="00C70B7A"/>
    <w:rsid w:val="00C72648"/>
    <w:rsid w:val="00C8540F"/>
    <w:rsid w:val="00C8554D"/>
    <w:rsid w:val="00C91BD4"/>
    <w:rsid w:val="00CC57BF"/>
    <w:rsid w:val="00CD2EE9"/>
    <w:rsid w:val="00CE00A6"/>
    <w:rsid w:val="00CE24A7"/>
    <w:rsid w:val="00CE747C"/>
    <w:rsid w:val="00CF28CE"/>
    <w:rsid w:val="00CF5CF7"/>
    <w:rsid w:val="00CF6EBD"/>
    <w:rsid w:val="00D0270B"/>
    <w:rsid w:val="00D0627F"/>
    <w:rsid w:val="00D06A13"/>
    <w:rsid w:val="00D12E9F"/>
    <w:rsid w:val="00D1728E"/>
    <w:rsid w:val="00D269D7"/>
    <w:rsid w:val="00D26B8A"/>
    <w:rsid w:val="00D27388"/>
    <w:rsid w:val="00D34E4D"/>
    <w:rsid w:val="00D475D8"/>
    <w:rsid w:val="00D51660"/>
    <w:rsid w:val="00D7009A"/>
    <w:rsid w:val="00D85C83"/>
    <w:rsid w:val="00D96979"/>
    <w:rsid w:val="00DB3967"/>
    <w:rsid w:val="00DC28CF"/>
    <w:rsid w:val="00DC2F70"/>
    <w:rsid w:val="00DD0087"/>
    <w:rsid w:val="00DF4CE4"/>
    <w:rsid w:val="00E03FEC"/>
    <w:rsid w:val="00E23FA4"/>
    <w:rsid w:val="00E24A87"/>
    <w:rsid w:val="00E27299"/>
    <w:rsid w:val="00E32AC2"/>
    <w:rsid w:val="00E3307A"/>
    <w:rsid w:val="00E3596C"/>
    <w:rsid w:val="00E64A74"/>
    <w:rsid w:val="00E64F22"/>
    <w:rsid w:val="00E67554"/>
    <w:rsid w:val="00E71DA8"/>
    <w:rsid w:val="00E83493"/>
    <w:rsid w:val="00EA6FA9"/>
    <w:rsid w:val="00EC18C0"/>
    <w:rsid w:val="00ED43A8"/>
    <w:rsid w:val="00F116F6"/>
    <w:rsid w:val="00F125FD"/>
    <w:rsid w:val="00F15293"/>
    <w:rsid w:val="00F174BE"/>
    <w:rsid w:val="00F239A5"/>
    <w:rsid w:val="00F27623"/>
    <w:rsid w:val="00F36AC1"/>
    <w:rsid w:val="00F44884"/>
    <w:rsid w:val="00F608D3"/>
    <w:rsid w:val="00F61C50"/>
    <w:rsid w:val="00F758C6"/>
    <w:rsid w:val="00F83823"/>
    <w:rsid w:val="00F91750"/>
    <w:rsid w:val="00F92CDF"/>
    <w:rsid w:val="00F96BD7"/>
    <w:rsid w:val="00FA4D2D"/>
    <w:rsid w:val="00FC2804"/>
    <w:rsid w:val="00FC50F8"/>
    <w:rsid w:val="00FC5277"/>
    <w:rsid w:val="00FC72D4"/>
    <w:rsid w:val="00FE178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ud.ct.gov/external/supapp/Cases/AROap/AP176/176AP45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BCA9-5082-461E-BE3D-7A878A8B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15</cp:revision>
  <cp:lastPrinted>2017-10-03T20:51:00Z</cp:lastPrinted>
  <dcterms:created xsi:type="dcterms:W3CDTF">2017-10-03T17:52:00Z</dcterms:created>
  <dcterms:modified xsi:type="dcterms:W3CDTF">2017-10-03T20:51:00Z</dcterms:modified>
</cp:coreProperties>
</file>