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AB" w:rsidRDefault="008C61AB" w:rsidP="008C61AB">
      <w:pPr>
        <w:spacing w:after="200" w:line="276" w:lineRule="auto"/>
        <w:ind w:left="-360" w:right="-270"/>
        <w:jc w:val="center"/>
        <w:rPr>
          <w:rFonts w:eastAsiaTheme="minorHAnsi"/>
          <w:b/>
          <w:color w:val="1F497D" w:themeColor="text2"/>
          <w:sz w:val="52"/>
          <w:szCs w:val="52"/>
        </w:rPr>
      </w:pPr>
      <w:bookmarkStart w:id="0" w:name="_GoBack"/>
      <w:bookmarkEnd w:id="0"/>
      <w:r w:rsidRPr="008C61AB">
        <w:rPr>
          <w:rFonts w:eastAsiaTheme="minorHAnsi"/>
          <w:b/>
          <w:color w:val="1F497D" w:themeColor="text2"/>
          <w:sz w:val="52"/>
          <w:szCs w:val="52"/>
        </w:rPr>
        <w:t>AMA Guides: 4th, 5th or 6th edition?</w:t>
      </w:r>
    </w:p>
    <w:p w:rsidR="00834519" w:rsidRPr="008458A9" w:rsidRDefault="006677A2" w:rsidP="008C61AB">
      <w:pPr>
        <w:spacing w:after="200" w:line="276" w:lineRule="auto"/>
        <w:ind w:left="-360" w:right="-270"/>
        <w:rPr>
          <w:rFonts w:ascii="Arial" w:eastAsiaTheme="minorHAnsi" w:hAnsi="Arial" w:cs="Arial"/>
          <w:color w:val="000000" w:themeColor="text1"/>
          <w:szCs w:val="24"/>
        </w:rPr>
      </w:pPr>
      <w:r w:rsidRPr="008458A9">
        <w:rPr>
          <w:rFonts w:ascii="Arial" w:eastAsiaTheme="minorHAnsi" w:hAnsi="Arial" w:cs="Arial"/>
          <w:color w:val="000000" w:themeColor="text1"/>
          <w:szCs w:val="24"/>
        </w:rPr>
        <w:t>Many attorneys have been reporting that they are getting pushback from claims adjusters regarding impairment rating assignments that are not performed using the 6</w:t>
      </w:r>
      <w:r w:rsidRPr="008458A9">
        <w:rPr>
          <w:rFonts w:ascii="Arial" w:eastAsiaTheme="minorHAnsi" w:hAnsi="Arial" w:cs="Arial"/>
          <w:color w:val="000000" w:themeColor="text1"/>
          <w:szCs w:val="24"/>
          <w:vertAlign w:val="superscript"/>
        </w:rPr>
        <w:t>th</w:t>
      </w:r>
      <w:r w:rsidRPr="008458A9">
        <w:rPr>
          <w:rFonts w:ascii="Arial" w:eastAsiaTheme="minorHAnsi" w:hAnsi="Arial" w:cs="Arial"/>
          <w:color w:val="000000" w:themeColor="text1"/>
          <w:szCs w:val="24"/>
        </w:rPr>
        <w:t xml:space="preserve"> edition of the AMA Guide to the Evaluation of Permanent Impairment (the “Guides”). The reason for the pushback from the defense is obvious. For all practical purposes, the 6</w:t>
      </w:r>
      <w:r w:rsidRPr="008458A9">
        <w:rPr>
          <w:rFonts w:ascii="Arial" w:eastAsiaTheme="minorHAnsi" w:hAnsi="Arial" w:cs="Arial"/>
          <w:color w:val="000000" w:themeColor="text1"/>
          <w:szCs w:val="24"/>
          <w:vertAlign w:val="superscript"/>
        </w:rPr>
        <w:t>th</w:t>
      </w:r>
      <w:r w:rsidRPr="008458A9">
        <w:rPr>
          <w:rFonts w:ascii="Arial" w:eastAsiaTheme="minorHAnsi" w:hAnsi="Arial" w:cs="Arial"/>
          <w:color w:val="000000" w:themeColor="text1"/>
          <w:szCs w:val="24"/>
        </w:rPr>
        <w:t xml:space="preserve"> edition of the Guides </w:t>
      </w:r>
      <w:r w:rsidR="00834519" w:rsidRPr="008458A9">
        <w:rPr>
          <w:rFonts w:ascii="Arial" w:eastAsiaTheme="minorHAnsi" w:hAnsi="Arial" w:cs="Arial"/>
          <w:color w:val="000000" w:themeColor="text1"/>
          <w:szCs w:val="24"/>
        </w:rPr>
        <w:t>lowers most</w:t>
      </w:r>
      <w:r w:rsidRPr="008458A9">
        <w:rPr>
          <w:rFonts w:ascii="Arial" w:eastAsiaTheme="minorHAnsi" w:hAnsi="Arial" w:cs="Arial"/>
          <w:color w:val="000000" w:themeColor="text1"/>
          <w:szCs w:val="24"/>
        </w:rPr>
        <w:t xml:space="preserve"> all prior impairments from earlier editions</w:t>
      </w:r>
      <w:r w:rsidR="00076D27" w:rsidRPr="008458A9">
        <w:rPr>
          <w:rFonts w:ascii="Arial" w:eastAsiaTheme="minorHAnsi" w:hAnsi="Arial" w:cs="Arial"/>
          <w:color w:val="000000" w:themeColor="text1"/>
          <w:szCs w:val="24"/>
        </w:rPr>
        <w:t>,</w:t>
      </w:r>
      <w:r w:rsidRPr="008458A9">
        <w:rPr>
          <w:rFonts w:ascii="Arial" w:eastAsiaTheme="minorHAnsi" w:hAnsi="Arial" w:cs="Arial"/>
          <w:color w:val="000000" w:themeColor="text1"/>
          <w:szCs w:val="24"/>
        </w:rPr>
        <w:t xml:space="preserve"> and works in their favor when negotiating claims settlements. In this newsletter I will identify some points that should be presented </w:t>
      </w:r>
      <w:r w:rsidR="00ED5886" w:rsidRPr="008458A9">
        <w:rPr>
          <w:rFonts w:ascii="Arial" w:eastAsiaTheme="minorHAnsi" w:hAnsi="Arial" w:cs="Arial"/>
          <w:color w:val="000000" w:themeColor="text1"/>
          <w:szCs w:val="24"/>
        </w:rPr>
        <w:t>when</w:t>
      </w:r>
      <w:r w:rsidRPr="008458A9">
        <w:rPr>
          <w:rFonts w:ascii="Arial" w:eastAsiaTheme="minorHAnsi" w:hAnsi="Arial" w:cs="Arial"/>
          <w:color w:val="000000" w:themeColor="text1"/>
          <w:szCs w:val="24"/>
        </w:rPr>
        <w:t xml:space="preserve"> an </w:t>
      </w:r>
      <w:r w:rsidR="00834519" w:rsidRPr="008458A9">
        <w:rPr>
          <w:rFonts w:ascii="Arial" w:eastAsiaTheme="minorHAnsi" w:hAnsi="Arial" w:cs="Arial"/>
          <w:color w:val="000000" w:themeColor="text1"/>
          <w:szCs w:val="24"/>
        </w:rPr>
        <w:t>adjuster makes</w:t>
      </w:r>
      <w:r w:rsidRPr="008458A9">
        <w:rPr>
          <w:rFonts w:ascii="Arial" w:eastAsiaTheme="minorHAnsi" w:hAnsi="Arial" w:cs="Arial"/>
          <w:color w:val="000000" w:themeColor="text1"/>
          <w:szCs w:val="24"/>
        </w:rPr>
        <w:t xml:space="preserve"> the claim that the doctor must use the 6</w:t>
      </w:r>
      <w:r w:rsidRPr="008458A9">
        <w:rPr>
          <w:rFonts w:ascii="Arial" w:eastAsiaTheme="minorHAnsi" w:hAnsi="Arial" w:cs="Arial"/>
          <w:color w:val="000000" w:themeColor="text1"/>
          <w:szCs w:val="24"/>
          <w:vertAlign w:val="superscript"/>
        </w:rPr>
        <w:t>th</w:t>
      </w:r>
      <w:r w:rsidRPr="008458A9">
        <w:rPr>
          <w:rFonts w:ascii="Arial" w:eastAsiaTheme="minorHAnsi" w:hAnsi="Arial" w:cs="Arial"/>
          <w:color w:val="000000" w:themeColor="text1"/>
          <w:szCs w:val="24"/>
        </w:rPr>
        <w:t xml:space="preserve"> </w:t>
      </w:r>
      <w:r w:rsidR="00ED5886" w:rsidRPr="008458A9">
        <w:rPr>
          <w:rFonts w:ascii="Arial" w:eastAsiaTheme="minorHAnsi" w:hAnsi="Arial" w:cs="Arial"/>
          <w:color w:val="000000" w:themeColor="text1"/>
          <w:szCs w:val="24"/>
        </w:rPr>
        <w:t xml:space="preserve">edition. </w:t>
      </w:r>
    </w:p>
    <w:p w:rsidR="00ED5886" w:rsidRPr="008458A9" w:rsidRDefault="00ED5886" w:rsidP="008C61AB">
      <w:pPr>
        <w:spacing w:after="200" w:line="276" w:lineRule="auto"/>
        <w:ind w:left="-360" w:right="-270"/>
        <w:rPr>
          <w:rFonts w:ascii="Arial" w:hAnsi="Arial" w:cs="Arial"/>
          <w:color w:val="000000" w:themeColor="text1"/>
          <w:szCs w:val="24"/>
        </w:rPr>
      </w:pPr>
      <w:r w:rsidRPr="008458A9">
        <w:rPr>
          <w:rFonts w:ascii="Arial" w:eastAsiaTheme="minorHAnsi" w:hAnsi="Arial" w:cs="Arial"/>
          <w:color w:val="000000" w:themeColor="text1"/>
          <w:szCs w:val="24"/>
        </w:rPr>
        <w:t xml:space="preserve">First let’s get to the bottom line. There is no case law </w:t>
      </w:r>
      <w:r w:rsidR="00076D27" w:rsidRPr="008458A9">
        <w:rPr>
          <w:rFonts w:ascii="Arial" w:eastAsiaTheme="minorHAnsi" w:hAnsi="Arial" w:cs="Arial"/>
          <w:color w:val="000000" w:themeColor="text1"/>
          <w:szCs w:val="24"/>
        </w:rPr>
        <w:t>n</w:t>
      </w:r>
      <w:r w:rsidRPr="008458A9">
        <w:rPr>
          <w:rFonts w:ascii="Arial" w:eastAsiaTheme="minorHAnsi" w:hAnsi="Arial" w:cs="Arial"/>
          <w:color w:val="000000" w:themeColor="text1"/>
          <w:szCs w:val="24"/>
        </w:rPr>
        <w:t xml:space="preserve">or general statute that requires any physician to use any particular edition of the AMA Guides. In fact, </w:t>
      </w:r>
      <w:r w:rsidRPr="008458A9">
        <w:rPr>
          <w:rFonts w:ascii="Arial" w:hAnsi="Arial" w:cs="Arial"/>
          <w:color w:val="000000" w:themeColor="text1"/>
          <w:szCs w:val="24"/>
        </w:rPr>
        <w:t>the Connecticut Work</w:t>
      </w:r>
      <w:r w:rsidR="00834519" w:rsidRPr="008458A9">
        <w:rPr>
          <w:rFonts w:ascii="Arial" w:hAnsi="Arial" w:cs="Arial"/>
          <w:color w:val="000000" w:themeColor="text1"/>
          <w:szCs w:val="24"/>
        </w:rPr>
        <w:t>ers Compensation Statutes state</w:t>
      </w:r>
      <w:r w:rsidRPr="008458A9">
        <w:rPr>
          <w:rFonts w:ascii="Arial" w:hAnsi="Arial" w:cs="Arial"/>
          <w:color w:val="000000" w:themeColor="text1"/>
          <w:szCs w:val="24"/>
        </w:rPr>
        <w:t xml:space="preserve"> the following within </w:t>
      </w:r>
      <w:r w:rsidR="00076D27" w:rsidRPr="008458A9">
        <w:rPr>
          <w:rFonts w:ascii="Arial" w:hAnsi="Arial" w:cs="Arial"/>
          <w:color w:val="000000" w:themeColor="text1"/>
          <w:szCs w:val="24"/>
        </w:rPr>
        <w:t>§</w:t>
      </w:r>
      <w:r w:rsidRPr="008458A9">
        <w:rPr>
          <w:rFonts w:ascii="Arial" w:hAnsi="Arial" w:cs="Arial"/>
          <w:color w:val="000000" w:themeColor="text1"/>
          <w:szCs w:val="24"/>
        </w:rPr>
        <w:t xml:space="preserve">31-308(b): </w:t>
      </w:r>
      <w:r w:rsidRPr="00066A0E">
        <w:rPr>
          <w:rFonts w:ascii="Arial" w:hAnsi="Arial" w:cs="Arial"/>
          <w:b/>
          <w:i/>
          <w:color w:val="002060"/>
          <w:szCs w:val="24"/>
        </w:rPr>
        <w:t>“…In Connecticut, doctors are NOT required to follow the AMA Guidelines. The doctor’s opinion can be based on their own training and experience or customary practices within the locale…”</w:t>
      </w:r>
      <w:r w:rsidRPr="00066A0E">
        <w:rPr>
          <w:rFonts w:ascii="Arial" w:hAnsi="Arial" w:cs="Arial"/>
          <w:color w:val="002060"/>
          <w:szCs w:val="24"/>
        </w:rPr>
        <w:t>.</w:t>
      </w:r>
      <w:r w:rsidR="0050162E" w:rsidRPr="00066A0E">
        <w:rPr>
          <w:rFonts w:ascii="Arial" w:hAnsi="Arial" w:cs="Arial"/>
          <w:color w:val="002060"/>
          <w:szCs w:val="24"/>
        </w:rPr>
        <w:t xml:space="preserve"> </w:t>
      </w:r>
      <w:r w:rsidR="0050162E" w:rsidRPr="008458A9">
        <w:rPr>
          <w:rFonts w:ascii="Arial" w:hAnsi="Arial" w:cs="Arial"/>
          <w:color w:val="000000" w:themeColor="text1"/>
          <w:szCs w:val="24"/>
        </w:rPr>
        <w:t>The absence of c</w:t>
      </w:r>
      <w:r w:rsidR="00E958DE" w:rsidRPr="008458A9">
        <w:rPr>
          <w:rFonts w:ascii="Arial" w:hAnsi="Arial" w:cs="Arial"/>
          <w:color w:val="000000" w:themeColor="text1"/>
          <w:szCs w:val="24"/>
        </w:rPr>
        <w:t xml:space="preserve">ase law on the subject and the Workers Compensation Commission’s position should be sufficient enough to quell the pushback. But </w:t>
      </w:r>
      <w:r w:rsidR="00834519" w:rsidRPr="008458A9">
        <w:rPr>
          <w:rFonts w:ascii="Arial" w:hAnsi="Arial" w:cs="Arial"/>
          <w:color w:val="000000" w:themeColor="text1"/>
          <w:szCs w:val="24"/>
        </w:rPr>
        <w:t>let’s</w:t>
      </w:r>
      <w:r w:rsidR="00E958DE" w:rsidRPr="008458A9">
        <w:rPr>
          <w:rFonts w:ascii="Arial" w:hAnsi="Arial" w:cs="Arial"/>
          <w:color w:val="000000" w:themeColor="text1"/>
          <w:szCs w:val="24"/>
        </w:rPr>
        <w:t xml:space="preserve"> look into this further.</w:t>
      </w:r>
    </w:p>
    <w:p w:rsidR="0056517F" w:rsidRPr="008458A9" w:rsidRDefault="005000B4" w:rsidP="0056517F">
      <w:pPr>
        <w:spacing w:after="200" w:line="276" w:lineRule="auto"/>
        <w:ind w:left="-360" w:right="-270"/>
        <w:rPr>
          <w:rFonts w:ascii="Arial" w:hAnsi="Arial" w:cs="Arial"/>
          <w:color w:val="000000" w:themeColor="text1"/>
          <w:szCs w:val="24"/>
        </w:rPr>
      </w:pPr>
      <w:r w:rsidRPr="008458A9">
        <w:rPr>
          <w:rFonts w:ascii="Arial" w:hAnsi="Arial" w:cs="Arial"/>
          <w:color w:val="000000" w:themeColor="text1"/>
          <w:szCs w:val="24"/>
        </w:rPr>
        <w:t xml:space="preserve">Having practiced over 3 decades, I have become friendly with some of the Workers Compensation Commissioners. They have confirmed </w:t>
      </w:r>
      <w:r w:rsidR="00076D27" w:rsidRPr="008458A9">
        <w:rPr>
          <w:rFonts w:ascii="Arial" w:hAnsi="Arial" w:cs="Arial"/>
          <w:color w:val="000000" w:themeColor="text1"/>
          <w:szCs w:val="24"/>
        </w:rPr>
        <w:t xml:space="preserve"> CGS §</w:t>
      </w:r>
      <w:r w:rsidR="0079339E" w:rsidRPr="008458A9">
        <w:rPr>
          <w:rFonts w:ascii="Arial" w:hAnsi="Arial" w:cs="Arial"/>
          <w:color w:val="000000" w:themeColor="text1"/>
          <w:szCs w:val="24"/>
        </w:rPr>
        <w:t xml:space="preserve">31-308(b) </w:t>
      </w:r>
      <w:r w:rsidRPr="008458A9">
        <w:rPr>
          <w:rFonts w:ascii="Arial" w:hAnsi="Arial" w:cs="Arial"/>
          <w:color w:val="000000" w:themeColor="text1"/>
          <w:szCs w:val="24"/>
        </w:rPr>
        <w:t>and elaborated further</w:t>
      </w:r>
      <w:r w:rsidR="0079339E" w:rsidRPr="008458A9">
        <w:rPr>
          <w:rFonts w:ascii="Arial" w:hAnsi="Arial" w:cs="Arial"/>
          <w:color w:val="000000" w:themeColor="text1"/>
          <w:szCs w:val="24"/>
        </w:rPr>
        <w:t>. I have repeatedly been told</w:t>
      </w:r>
      <w:r w:rsidR="00FD2C06">
        <w:rPr>
          <w:rFonts w:ascii="Arial" w:hAnsi="Arial" w:cs="Arial"/>
          <w:color w:val="000000" w:themeColor="text1"/>
          <w:szCs w:val="24"/>
        </w:rPr>
        <w:t>;</w:t>
      </w:r>
      <w:r w:rsidRPr="008458A9">
        <w:rPr>
          <w:rFonts w:ascii="Arial" w:hAnsi="Arial" w:cs="Arial"/>
          <w:color w:val="000000" w:themeColor="text1"/>
          <w:szCs w:val="24"/>
        </w:rPr>
        <w:t xml:space="preserve"> for purposes of Workers Compensation related impairments, they will accept ratings from the 4</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5</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or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but prefer the 5</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and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They fully understand that the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w:t>
      </w:r>
      <w:r w:rsidR="00FD2C06">
        <w:rPr>
          <w:rFonts w:ascii="Arial" w:hAnsi="Arial" w:cs="Arial"/>
          <w:color w:val="000000" w:themeColor="text1"/>
          <w:szCs w:val="24"/>
        </w:rPr>
        <w:t xml:space="preserve">often times, </w:t>
      </w:r>
      <w:r w:rsidRPr="008458A9">
        <w:rPr>
          <w:rFonts w:ascii="Arial" w:hAnsi="Arial" w:cs="Arial"/>
          <w:color w:val="000000" w:themeColor="text1"/>
          <w:szCs w:val="24"/>
        </w:rPr>
        <w:t>presents with</w:t>
      </w:r>
      <w:r w:rsidR="0079339E" w:rsidRPr="008458A9">
        <w:rPr>
          <w:rFonts w:ascii="Arial" w:hAnsi="Arial" w:cs="Arial"/>
          <w:color w:val="000000" w:themeColor="text1"/>
          <w:szCs w:val="24"/>
        </w:rPr>
        <w:t xml:space="preserve"> </w:t>
      </w:r>
      <w:r w:rsidRPr="008458A9">
        <w:rPr>
          <w:rFonts w:ascii="Arial" w:hAnsi="Arial" w:cs="Arial"/>
          <w:color w:val="000000" w:themeColor="text1"/>
          <w:szCs w:val="24"/>
        </w:rPr>
        <w:t>insurmountable challenges</w:t>
      </w:r>
      <w:r w:rsidR="0079339E" w:rsidRPr="008458A9">
        <w:rPr>
          <w:rFonts w:ascii="Arial" w:hAnsi="Arial" w:cs="Arial"/>
          <w:color w:val="000000" w:themeColor="text1"/>
          <w:szCs w:val="24"/>
        </w:rPr>
        <w:t>,</w:t>
      </w:r>
      <w:r w:rsidRPr="008458A9">
        <w:rPr>
          <w:rFonts w:ascii="Arial" w:hAnsi="Arial" w:cs="Arial"/>
          <w:color w:val="000000" w:themeColor="text1"/>
          <w:szCs w:val="24"/>
        </w:rPr>
        <w:t xml:space="preserve"> particularly when the maximum impairment for a spine related connective tissue injury (excluding disc injuries) is 3% in the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and the range of impairments for the same </w:t>
      </w:r>
      <w:r w:rsidR="0079339E" w:rsidRPr="008458A9">
        <w:rPr>
          <w:rFonts w:ascii="Arial" w:hAnsi="Arial" w:cs="Arial"/>
          <w:color w:val="000000" w:themeColor="text1"/>
          <w:szCs w:val="24"/>
        </w:rPr>
        <w:t>injury</w:t>
      </w:r>
      <w:r w:rsidRPr="008458A9">
        <w:rPr>
          <w:rFonts w:ascii="Arial" w:hAnsi="Arial" w:cs="Arial"/>
          <w:color w:val="000000" w:themeColor="text1"/>
          <w:szCs w:val="24"/>
        </w:rPr>
        <w:t xml:space="preserve"> in the 5</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ranges from 5%-8% using the DRE model</w:t>
      </w:r>
      <w:r w:rsidR="00FD2C06">
        <w:rPr>
          <w:rFonts w:ascii="Arial" w:hAnsi="Arial" w:cs="Arial"/>
          <w:color w:val="000000" w:themeColor="text1"/>
          <w:szCs w:val="24"/>
        </w:rPr>
        <w:t>.</w:t>
      </w:r>
      <w:r w:rsidRPr="008458A9">
        <w:rPr>
          <w:rFonts w:ascii="Arial" w:hAnsi="Arial" w:cs="Arial"/>
          <w:color w:val="000000" w:themeColor="text1"/>
          <w:szCs w:val="24"/>
        </w:rPr>
        <w:t xml:space="preserve"> </w:t>
      </w:r>
      <w:r w:rsidR="00FD2C06">
        <w:rPr>
          <w:rFonts w:ascii="Arial" w:hAnsi="Arial" w:cs="Arial"/>
          <w:color w:val="000000" w:themeColor="text1"/>
          <w:szCs w:val="24"/>
        </w:rPr>
        <w:t>I</w:t>
      </w:r>
      <w:r w:rsidRPr="008458A9">
        <w:rPr>
          <w:rFonts w:ascii="Arial" w:hAnsi="Arial" w:cs="Arial"/>
          <w:color w:val="000000" w:themeColor="text1"/>
          <w:szCs w:val="24"/>
        </w:rPr>
        <w:t>f a doctor chooses to use the ROM model the ratings can be much higher.</w:t>
      </w:r>
      <w:r w:rsidR="0079339E" w:rsidRPr="008458A9">
        <w:rPr>
          <w:rFonts w:ascii="Arial" w:hAnsi="Arial" w:cs="Arial"/>
          <w:color w:val="000000" w:themeColor="text1"/>
          <w:szCs w:val="24"/>
        </w:rPr>
        <w:t xml:space="preserve"> These variances are insurmountable for adjudication purposes particularly when prior impairments exist. The methodology suggested in the 6</w:t>
      </w:r>
      <w:r w:rsidR="0079339E" w:rsidRPr="008458A9">
        <w:rPr>
          <w:rFonts w:ascii="Arial" w:hAnsi="Arial" w:cs="Arial"/>
          <w:color w:val="000000" w:themeColor="text1"/>
          <w:szCs w:val="24"/>
          <w:vertAlign w:val="superscript"/>
        </w:rPr>
        <w:t>th</w:t>
      </w:r>
      <w:r w:rsidR="0079339E" w:rsidRPr="008458A9">
        <w:rPr>
          <w:rFonts w:ascii="Arial" w:hAnsi="Arial" w:cs="Arial"/>
          <w:color w:val="000000" w:themeColor="text1"/>
          <w:szCs w:val="24"/>
        </w:rPr>
        <w:t xml:space="preserve"> edition</w:t>
      </w:r>
      <w:r w:rsidR="00FD2C06">
        <w:rPr>
          <w:rFonts w:ascii="Arial" w:hAnsi="Arial" w:cs="Arial"/>
          <w:color w:val="000000" w:themeColor="text1"/>
          <w:szCs w:val="24"/>
        </w:rPr>
        <w:t>,</w:t>
      </w:r>
      <w:r w:rsidR="0079339E" w:rsidRPr="008458A9">
        <w:rPr>
          <w:rFonts w:ascii="Arial" w:hAnsi="Arial" w:cs="Arial"/>
          <w:color w:val="000000" w:themeColor="text1"/>
          <w:szCs w:val="24"/>
        </w:rPr>
        <w:t xml:space="preserve"> to aggress this is </w:t>
      </w:r>
      <w:r w:rsidR="0056517F" w:rsidRPr="008458A9">
        <w:rPr>
          <w:rFonts w:ascii="Arial" w:hAnsi="Arial" w:cs="Arial"/>
          <w:color w:val="000000" w:themeColor="text1"/>
          <w:szCs w:val="24"/>
        </w:rPr>
        <w:t>not practical and doesn’t really address the problem.</w:t>
      </w:r>
    </w:p>
    <w:p w:rsidR="00E958DE" w:rsidRPr="008458A9" w:rsidRDefault="00E958DE" w:rsidP="00EB49A8">
      <w:pPr>
        <w:spacing w:after="200" w:line="276" w:lineRule="auto"/>
        <w:ind w:left="-360" w:right="-270"/>
        <w:rPr>
          <w:rFonts w:ascii="Arial" w:hAnsi="Arial" w:cs="Arial"/>
          <w:color w:val="000000" w:themeColor="text1"/>
          <w:szCs w:val="24"/>
        </w:rPr>
      </w:pPr>
      <w:r w:rsidRPr="008458A9">
        <w:rPr>
          <w:rFonts w:ascii="Arial" w:hAnsi="Arial" w:cs="Arial"/>
          <w:color w:val="000000" w:themeColor="text1"/>
          <w:szCs w:val="24"/>
        </w:rPr>
        <w:t>Since its release, the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has been controversial and highly contested in jurisdictions throughout the country. It remains highly questionable by many experts within the medical and chiropractic communities. “The Guides”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was so flawed upon publication that there was a 52 page errata published by the AMA to address those errors found at that time. The voluminous changes in the errata resulted in the AMA sending a free “corrected” copy to all </w:t>
      </w:r>
      <w:r w:rsidR="00834519" w:rsidRPr="008458A9">
        <w:rPr>
          <w:rFonts w:ascii="Arial" w:hAnsi="Arial" w:cs="Arial"/>
          <w:color w:val="000000" w:themeColor="text1"/>
          <w:szCs w:val="24"/>
        </w:rPr>
        <w:lastRenderedPageBreak/>
        <w:t xml:space="preserve">physicians that </w:t>
      </w:r>
      <w:r w:rsidRPr="008458A9">
        <w:rPr>
          <w:rFonts w:ascii="Arial" w:hAnsi="Arial" w:cs="Arial"/>
          <w:color w:val="000000" w:themeColor="text1"/>
          <w:szCs w:val="24"/>
        </w:rPr>
        <w:t xml:space="preserve">purchased the original release. To this date, many </w:t>
      </w:r>
      <w:r w:rsidR="00834519" w:rsidRPr="008458A9">
        <w:rPr>
          <w:rFonts w:ascii="Arial" w:hAnsi="Arial" w:cs="Arial"/>
          <w:color w:val="000000" w:themeColor="text1"/>
          <w:szCs w:val="24"/>
        </w:rPr>
        <w:t>challenge</w:t>
      </w:r>
      <w:r w:rsidRPr="008458A9">
        <w:rPr>
          <w:rFonts w:ascii="Arial" w:hAnsi="Arial" w:cs="Arial"/>
          <w:color w:val="000000" w:themeColor="text1"/>
          <w:szCs w:val="24"/>
        </w:rPr>
        <w:t xml:space="preserve"> the controversial approaches and general content </w:t>
      </w:r>
      <w:r w:rsidR="00834519" w:rsidRPr="008458A9">
        <w:rPr>
          <w:rFonts w:ascii="Arial" w:hAnsi="Arial" w:cs="Arial"/>
          <w:color w:val="000000" w:themeColor="text1"/>
          <w:szCs w:val="24"/>
        </w:rPr>
        <w:t>of the 6</w:t>
      </w:r>
      <w:r w:rsidR="00834519" w:rsidRPr="008458A9">
        <w:rPr>
          <w:rFonts w:ascii="Arial" w:hAnsi="Arial" w:cs="Arial"/>
          <w:color w:val="000000" w:themeColor="text1"/>
          <w:szCs w:val="24"/>
          <w:vertAlign w:val="superscript"/>
        </w:rPr>
        <w:t>th</w:t>
      </w:r>
      <w:r w:rsidR="00834519" w:rsidRPr="008458A9">
        <w:rPr>
          <w:rFonts w:ascii="Arial" w:hAnsi="Arial" w:cs="Arial"/>
          <w:color w:val="000000" w:themeColor="text1"/>
          <w:szCs w:val="24"/>
        </w:rPr>
        <w:t xml:space="preserve"> edition</w:t>
      </w:r>
      <w:r w:rsidRPr="008458A9">
        <w:rPr>
          <w:rFonts w:ascii="Arial" w:hAnsi="Arial" w:cs="Arial"/>
          <w:color w:val="000000" w:themeColor="text1"/>
          <w:szCs w:val="24"/>
        </w:rPr>
        <w:t xml:space="preserve">. The most significantly contested area </w:t>
      </w:r>
      <w:r w:rsidR="00276330" w:rsidRPr="008458A9">
        <w:rPr>
          <w:rFonts w:ascii="Arial" w:hAnsi="Arial" w:cs="Arial"/>
          <w:color w:val="000000" w:themeColor="text1"/>
          <w:szCs w:val="24"/>
        </w:rPr>
        <w:t>is</w:t>
      </w:r>
      <w:r w:rsidRPr="008458A9">
        <w:rPr>
          <w:rFonts w:ascii="Arial" w:hAnsi="Arial" w:cs="Arial"/>
          <w:color w:val="000000" w:themeColor="text1"/>
          <w:szCs w:val="24"/>
        </w:rPr>
        <w:t xml:space="preserve"> related to spine </w:t>
      </w:r>
      <w:r w:rsidR="00276330" w:rsidRPr="008458A9">
        <w:rPr>
          <w:rFonts w:ascii="Arial" w:hAnsi="Arial" w:cs="Arial"/>
          <w:color w:val="000000" w:themeColor="text1"/>
          <w:szCs w:val="24"/>
        </w:rPr>
        <w:t>impairments</w:t>
      </w:r>
      <w:r w:rsidR="00834519" w:rsidRPr="008458A9">
        <w:rPr>
          <w:rFonts w:ascii="Arial" w:hAnsi="Arial" w:cs="Arial"/>
          <w:color w:val="000000" w:themeColor="text1"/>
          <w:szCs w:val="24"/>
        </w:rPr>
        <w:t>,</w:t>
      </w:r>
      <w:r w:rsidRPr="008458A9">
        <w:rPr>
          <w:rFonts w:ascii="Arial" w:hAnsi="Arial" w:cs="Arial"/>
          <w:color w:val="000000" w:themeColor="text1"/>
          <w:szCs w:val="24"/>
        </w:rPr>
        <w:t xml:space="preserve"> which in the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w:t>
      </w:r>
      <w:r w:rsidR="00FD2C06">
        <w:rPr>
          <w:rFonts w:ascii="Arial" w:hAnsi="Arial" w:cs="Arial"/>
          <w:color w:val="000000" w:themeColor="text1"/>
          <w:szCs w:val="24"/>
        </w:rPr>
        <w:t>,</w:t>
      </w:r>
      <w:r w:rsidRPr="008458A9">
        <w:rPr>
          <w:rFonts w:ascii="Arial" w:hAnsi="Arial" w:cs="Arial"/>
          <w:color w:val="000000" w:themeColor="text1"/>
          <w:szCs w:val="24"/>
        </w:rPr>
        <w:t xml:space="preserve"> </w:t>
      </w:r>
      <w:r w:rsidR="00276330" w:rsidRPr="008458A9">
        <w:rPr>
          <w:rFonts w:ascii="Arial" w:hAnsi="Arial" w:cs="Arial"/>
          <w:color w:val="000000" w:themeColor="text1"/>
          <w:szCs w:val="24"/>
        </w:rPr>
        <w:t>assigns</w:t>
      </w:r>
      <w:r w:rsidRPr="008458A9">
        <w:rPr>
          <w:rFonts w:ascii="Arial" w:hAnsi="Arial" w:cs="Arial"/>
          <w:color w:val="000000" w:themeColor="text1"/>
          <w:szCs w:val="24"/>
        </w:rPr>
        <w:t xml:space="preserve"> </w:t>
      </w:r>
      <w:r w:rsidR="00834519" w:rsidRPr="008458A9">
        <w:rPr>
          <w:rFonts w:ascii="Arial" w:hAnsi="Arial" w:cs="Arial"/>
          <w:color w:val="000000" w:themeColor="text1"/>
          <w:szCs w:val="24"/>
        </w:rPr>
        <w:t xml:space="preserve">impairment </w:t>
      </w:r>
      <w:r w:rsidRPr="008458A9">
        <w:rPr>
          <w:rFonts w:ascii="Arial" w:hAnsi="Arial" w:cs="Arial"/>
          <w:color w:val="000000" w:themeColor="text1"/>
          <w:szCs w:val="24"/>
        </w:rPr>
        <w:t xml:space="preserve">values </w:t>
      </w:r>
      <w:r w:rsidR="00276330" w:rsidRPr="008458A9">
        <w:rPr>
          <w:rFonts w:ascii="Arial" w:hAnsi="Arial" w:cs="Arial"/>
          <w:color w:val="000000" w:themeColor="text1"/>
          <w:szCs w:val="24"/>
        </w:rPr>
        <w:t xml:space="preserve">extraordinarily </w:t>
      </w:r>
      <w:r w:rsidRPr="008458A9">
        <w:rPr>
          <w:rFonts w:ascii="Arial" w:hAnsi="Arial" w:cs="Arial"/>
          <w:color w:val="000000" w:themeColor="text1"/>
          <w:szCs w:val="24"/>
        </w:rPr>
        <w:t>inconsistent with prior editions</w:t>
      </w:r>
      <w:r w:rsidR="00276330" w:rsidRPr="008458A9">
        <w:rPr>
          <w:rFonts w:ascii="Arial" w:hAnsi="Arial" w:cs="Arial"/>
          <w:color w:val="000000" w:themeColor="text1"/>
          <w:szCs w:val="24"/>
        </w:rPr>
        <w:t>,</w:t>
      </w:r>
      <w:r w:rsidRPr="008458A9">
        <w:rPr>
          <w:rFonts w:ascii="Arial" w:hAnsi="Arial" w:cs="Arial"/>
          <w:color w:val="000000" w:themeColor="text1"/>
          <w:szCs w:val="24"/>
        </w:rPr>
        <w:t xml:space="preserve"> resulting in impairments that are considered erroneous</w:t>
      </w:r>
      <w:r w:rsidR="00276330" w:rsidRPr="008458A9">
        <w:rPr>
          <w:rFonts w:ascii="Arial" w:hAnsi="Arial" w:cs="Arial"/>
          <w:color w:val="000000" w:themeColor="text1"/>
          <w:szCs w:val="24"/>
        </w:rPr>
        <w:t xml:space="preserve"> by many experts. See my newsletter</w:t>
      </w:r>
      <w:r w:rsidR="00D72CD8">
        <w:rPr>
          <w:rFonts w:ascii="Arial" w:hAnsi="Arial" w:cs="Arial"/>
          <w:color w:val="000000" w:themeColor="text1"/>
          <w:szCs w:val="24"/>
        </w:rPr>
        <w:t xml:space="preserve">s </w:t>
      </w:r>
      <w:r w:rsidR="00276330" w:rsidRPr="008458A9">
        <w:rPr>
          <w:rFonts w:ascii="Arial" w:hAnsi="Arial" w:cs="Arial"/>
          <w:color w:val="000000" w:themeColor="text1"/>
          <w:szCs w:val="24"/>
        </w:rPr>
        <w:t xml:space="preserve">from several years ago </w:t>
      </w:r>
      <w:r w:rsidR="0056517F" w:rsidRPr="008458A9">
        <w:rPr>
          <w:rFonts w:ascii="Arial" w:hAnsi="Arial" w:cs="Arial"/>
          <w:color w:val="000000" w:themeColor="text1"/>
          <w:szCs w:val="24"/>
        </w:rPr>
        <w:t>for examples of the inconsistent impairments between the different editions</w:t>
      </w:r>
      <w:hyperlink r:id="rId9" w:history="1">
        <w:r w:rsidR="00894336">
          <w:rPr>
            <w:rFonts w:ascii="Arial" w:hAnsi="Arial" w:cs="Arial"/>
            <w:szCs w:val="24"/>
          </w:rPr>
          <w:t xml:space="preserve"> </w:t>
        </w:r>
        <w:r w:rsidR="00EB49A8" w:rsidRPr="00E01540">
          <w:rPr>
            <w:rStyle w:val="Hyperlink"/>
            <w:rFonts w:ascii="Arial" w:hAnsi="Arial" w:cs="Arial"/>
            <w:color w:val="auto"/>
            <w:szCs w:val="24"/>
          </w:rPr>
          <w:t xml:space="preserve"> </w:t>
        </w:r>
        <w:r w:rsidR="00EB49A8" w:rsidRPr="00093B21">
          <w:rPr>
            <w:rStyle w:val="Hyperlink"/>
            <w:rFonts w:ascii="Arial" w:hAnsi="Arial" w:cs="Arial"/>
            <w:color w:val="002060"/>
            <w:szCs w:val="24"/>
          </w:rPr>
          <w:t>(Click here to see the newsletter)</w:t>
        </w:r>
      </w:hyperlink>
    </w:p>
    <w:p w:rsidR="00834519" w:rsidRPr="008458A9" w:rsidRDefault="00834519" w:rsidP="008C61AB">
      <w:pPr>
        <w:spacing w:after="200" w:line="276" w:lineRule="auto"/>
        <w:ind w:left="-360" w:right="-270"/>
        <w:rPr>
          <w:rFonts w:ascii="Arial" w:hAnsi="Arial" w:cs="Arial"/>
          <w:color w:val="000000" w:themeColor="text1"/>
          <w:sz w:val="23"/>
          <w:szCs w:val="23"/>
        </w:rPr>
      </w:pPr>
      <w:r w:rsidRPr="008458A9">
        <w:rPr>
          <w:rFonts w:ascii="Arial" w:hAnsi="Arial" w:cs="Arial"/>
          <w:color w:val="000000" w:themeColor="text1"/>
          <w:szCs w:val="24"/>
        </w:rPr>
        <w:t>A terrific review of the challenges faced with use of the AMA Guides,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was done by Dr. John Kuhnlein for the Iowa Task Force</w:t>
      </w:r>
      <w:r w:rsidR="00102D6B" w:rsidRPr="008458A9">
        <w:rPr>
          <w:rFonts w:ascii="Arial" w:hAnsi="Arial" w:cs="Arial"/>
          <w:color w:val="000000" w:themeColor="text1"/>
          <w:szCs w:val="24"/>
        </w:rPr>
        <w:t xml:space="preserve"> for their Workers Compensation Commission</w:t>
      </w:r>
      <w:r w:rsidRPr="008458A9">
        <w:rPr>
          <w:rFonts w:ascii="Arial" w:hAnsi="Arial" w:cs="Arial"/>
          <w:color w:val="000000" w:themeColor="text1"/>
          <w:szCs w:val="24"/>
        </w:rPr>
        <w:t>. The report was titled</w:t>
      </w:r>
      <w:r w:rsidR="00102D6B" w:rsidRPr="008458A9">
        <w:rPr>
          <w:rFonts w:ascii="Arial" w:hAnsi="Arial" w:cs="Arial"/>
          <w:color w:val="000000" w:themeColor="text1"/>
          <w:szCs w:val="24"/>
        </w:rPr>
        <w:t xml:space="preserve"> </w:t>
      </w:r>
      <w:hyperlink r:id="rId10" w:history="1">
        <w:r w:rsidR="00102D6B" w:rsidRPr="00066A0E">
          <w:rPr>
            <w:rStyle w:val="Hyperlink"/>
            <w:rFonts w:ascii="Arial" w:hAnsi="Arial" w:cs="Arial"/>
            <w:b/>
            <w:bCs/>
            <w:i/>
            <w:iCs/>
            <w:color w:val="002060"/>
            <w:szCs w:val="24"/>
          </w:rPr>
          <w:t>Member Report for the Iowa Task Force Regarding the AMA Guides to the Evaluation of Permanent Impairment, Sixth Edition</w:t>
        </w:r>
        <w:r w:rsidR="00102D6B" w:rsidRPr="00066A0E">
          <w:rPr>
            <w:rStyle w:val="Hyperlink"/>
            <w:rFonts w:ascii="Arial" w:hAnsi="Arial" w:cs="Arial"/>
            <w:bCs/>
            <w:iCs/>
            <w:szCs w:val="24"/>
          </w:rPr>
          <w:t xml:space="preserve"> </w:t>
        </w:r>
        <w:r w:rsidR="00066A0E" w:rsidRPr="00066A0E">
          <w:rPr>
            <w:rStyle w:val="Hyperlink"/>
            <w:rFonts w:ascii="Arial" w:hAnsi="Arial" w:cs="Arial"/>
            <w:bCs/>
            <w:iCs/>
            <w:szCs w:val="24"/>
          </w:rPr>
          <w:t>(</w:t>
        </w:r>
        <w:r w:rsidR="00066A0E" w:rsidRPr="00093B21">
          <w:rPr>
            <w:rStyle w:val="Hyperlink"/>
            <w:rFonts w:ascii="Arial" w:hAnsi="Arial" w:cs="Arial"/>
            <w:bCs/>
            <w:iCs/>
            <w:color w:val="002060"/>
            <w:szCs w:val="24"/>
          </w:rPr>
          <w:t>Click this link to read the report</w:t>
        </w:r>
      </w:hyperlink>
      <w:r w:rsidR="00066A0E">
        <w:rPr>
          <w:rFonts w:ascii="Arial" w:hAnsi="Arial" w:cs="Arial"/>
          <w:bCs/>
          <w:iCs/>
          <w:color w:val="002060"/>
          <w:szCs w:val="24"/>
        </w:rPr>
        <w:t xml:space="preserve">). </w:t>
      </w:r>
      <w:r w:rsidR="00102D6B" w:rsidRPr="008458A9">
        <w:rPr>
          <w:rFonts w:ascii="Arial" w:hAnsi="Arial" w:cs="Arial"/>
          <w:color w:val="000000" w:themeColor="text1"/>
          <w:sz w:val="23"/>
          <w:szCs w:val="23"/>
        </w:rPr>
        <w:t>It</w:t>
      </w:r>
      <w:r w:rsidR="0056517F" w:rsidRPr="008458A9">
        <w:rPr>
          <w:rFonts w:ascii="Arial" w:hAnsi="Arial" w:cs="Arial"/>
          <w:color w:val="000000" w:themeColor="text1"/>
          <w:sz w:val="23"/>
          <w:szCs w:val="23"/>
        </w:rPr>
        <w:t xml:space="preserve"> is</w:t>
      </w:r>
      <w:r w:rsidR="00102D6B" w:rsidRPr="008458A9">
        <w:rPr>
          <w:rFonts w:ascii="Arial" w:hAnsi="Arial" w:cs="Arial"/>
          <w:color w:val="000000" w:themeColor="text1"/>
          <w:sz w:val="23"/>
          <w:szCs w:val="23"/>
        </w:rPr>
        <w:t xml:space="preserve"> a reasonable, unbiased and objective assessment of the 6</w:t>
      </w:r>
      <w:r w:rsidR="00102D6B" w:rsidRPr="008458A9">
        <w:rPr>
          <w:rFonts w:ascii="Arial" w:hAnsi="Arial" w:cs="Arial"/>
          <w:color w:val="000000" w:themeColor="text1"/>
          <w:sz w:val="23"/>
          <w:szCs w:val="23"/>
          <w:vertAlign w:val="superscript"/>
        </w:rPr>
        <w:t>th</w:t>
      </w:r>
      <w:r w:rsidR="00102D6B" w:rsidRPr="008458A9">
        <w:rPr>
          <w:rFonts w:ascii="Arial" w:hAnsi="Arial" w:cs="Arial"/>
          <w:color w:val="000000" w:themeColor="text1"/>
          <w:sz w:val="23"/>
          <w:szCs w:val="23"/>
        </w:rPr>
        <w:t xml:space="preserve"> edition and a worthwhile read if you can find the time. While the report was done over </w:t>
      </w:r>
      <w:r w:rsidR="008458A9">
        <w:rPr>
          <w:rFonts w:ascii="Arial" w:hAnsi="Arial" w:cs="Arial"/>
          <w:color w:val="000000" w:themeColor="text1"/>
          <w:sz w:val="23"/>
          <w:szCs w:val="23"/>
        </w:rPr>
        <w:t>t</w:t>
      </w:r>
      <w:r w:rsidR="00FD2C06">
        <w:rPr>
          <w:rFonts w:ascii="Arial" w:hAnsi="Arial" w:cs="Arial"/>
          <w:color w:val="000000" w:themeColor="text1"/>
          <w:sz w:val="23"/>
          <w:szCs w:val="23"/>
        </w:rPr>
        <w:t xml:space="preserve">en </w:t>
      </w:r>
      <w:r w:rsidR="00102D6B" w:rsidRPr="008458A9">
        <w:rPr>
          <w:rFonts w:ascii="Arial" w:hAnsi="Arial" w:cs="Arial"/>
          <w:color w:val="000000" w:themeColor="text1"/>
          <w:sz w:val="23"/>
          <w:szCs w:val="23"/>
        </w:rPr>
        <w:t>years ago</w:t>
      </w:r>
      <w:r w:rsidR="0056517F" w:rsidRPr="008458A9">
        <w:rPr>
          <w:rFonts w:ascii="Arial" w:hAnsi="Arial" w:cs="Arial"/>
          <w:color w:val="000000" w:themeColor="text1"/>
          <w:sz w:val="23"/>
          <w:szCs w:val="23"/>
        </w:rPr>
        <w:t>,</w:t>
      </w:r>
      <w:r w:rsidR="00102D6B" w:rsidRPr="008458A9">
        <w:rPr>
          <w:rFonts w:ascii="Arial" w:hAnsi="Arial" w:cs="Arial"/>
          <w:color w:val="000000" w:themeColor="text1"/>
          <w:sz w:val="23"/>
          <w:szCs w:val="23"/>
        </w:rPr>
        <w:t xml:space="preserve"> nothing has changed within the guides and therefore the positions he takes are relevant even today.</w:t>
      </w:r>
    </w:p>
    <w:p w:rsidR="00D65410" w:rsidRPr="008458A9" w:rsidRDefault="0056517F" w:rsidP="00D65410">
      <w:pPr>
        <w:spacing w:after="200" w:line="276" w:lineRule="auto"/>
        <w:ind w:left="-360" w:right="-270"/>
        <w:rPr>
          <w:rFonts w:ascii="Arial" w:hAnsi="Arial" w:cs="Arial"/>
          <w:color w:val="000000" w:themeColor="text1"/>
          <w:szCs w:val="24"/>
        </w:rPr>
      </w:pPr>
      <w:r w:rsidRPr="008458A9">
        <w:rPr>
          <w:rFonts w:ascii="Arial" w:hAnsi="Arial" w:cs="Arial"/>
          <w:color w:val="000000" w:themeColor="text1"/>
          <w:szCs w:val="24"/>
        </w:rPr>
        <w:t>If the claims adjuster insists on a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edition impairment and it’s a spine related impairment</w:t>
      </w:r>
      <w:r w:rsidR="00FD2C06">
        <w:rPr>
          <w:rFonts w:ascii="Arial" w:hAnsi="Arial" w:cs="Arial"/>
          <w:color w:val="000000" w:themeColor="text1"/>
          <w:szCs w:val="24"/>
        </w:rPr>
        <w:t>,</w:t>
      </w:r>
      <w:r w:rsidRPr="008458A9">
        <w:rPr>
          <w:rFonts w:ascii="Arial" w:hAnsi="Arial" w:cs="Arial"/>
          <w:color w:val="000000" w:themeColor="text1"/>
          <w:szCs w:val="24"/>
        </w:rPr>
        <w:t xml:space="preserve"> I would</w:t>
      </w:r>
      <w:r w:rsidR="00D65410" w:rsidRPr="008458A9">
        <w:rPr>
          <w:rFonts w:ascii="Arial" w:hAnsi="Arial" w:cs="Arial"/>
          <w:color w:val="000000" w:themeColor="text1"/>
          <w:szCs w:val="24"/>
        </w:rPr>
        <w:t xml:space="preserve"> suggest asking your doctor to convert the impairment from the 6</w:t>
      </w:r>
      <w:r w:rsidR="00D65410" w:rsidRPr="008458A9">
        <w:rPr>
          <w:rFonts w:ascii="Arial" w:hAnsi="Arial" w:cs="Arial"/>
          <w:color w:val="000000" w:themeColor="text1"/>
          <w:szCs w:val="24"/>
          <w:vertAlign w:val="superscript"/>
        </w:rPr>
        <w:t>th</w:t>
      </w:r>
      <w:r w:rsidR="00D65410" w:rsidRPr="008458A9">
        <w:rPr>
          <w:rFonts w:ascii="Arial" w:hAnsi="Arial" w:cs="Arial"/>
          <w:color w:val="000000" w:themeColor="text1"/>
          <w:szCs w:val="24"/>
        </w:rPr>
        <w:t xml:space="preserve"> edition (always in Whole Persona values) to regional values related to the specific area of the spine (Cervical, Thoracic or Lumbar). The verbiage for this is below and can be referenced in the 6</w:t>
      </w:r>
      <w:r w:rsidR="00D65410" w:rsidRPr="008458A9">
        <w:rPr>
          <w:rFonts w:ascii="Arial" w:hAnsi="Arial" w:cs="Arial"/>
          <w:color w:val="000000" w:themeColor="text1"/>
          <w:szCs w:val="24"/>
          <w:vertAlign w:val="superscript"/>
        </w:rPr>
        <w:t>th</w:t>
      </w:r>
      <w:r w:rsidR="00D65410" w:rsidRPr="008458A9">
        <w:rPr>
          <w:rFonts w:ascii="Arial" w:hAnsi="Arial" w:cs="Arial"/>
          <w:color w:val="000000" w:themeColor="text1"/>
          <w:szCs w:val="24"/>
        </w:rPr>
        <w:t xml:space="preserve"> edition on page 583 under Section 17.3f. More or less, Cervical spine impairments will triple, Thoracic spine impairments will quintuple, and lumbar spine impairments will be increased by 1/3</w:t>
      </w:r>
      <w:r w:rsidR="00D65410" w:rsidRPr="008458A9">
        <w:rPr>
          <w:rFonts w:ascii="Arial" w:hAnsi="Arial" w:cs="Arial"/>
          <w:color w:val="000000" w:themeColor="text1"/>
          <w:szCs w:val="24"/>
          <w:vertAlign w:val="superscript"/>
        </w:rPr>
        <w:t>rd</w:t>
      </w:r>
      <w:r w:rsidR="00D65410" w:rsidRPr="008458A9">
        <w:rPr>
          <w:rFonts w:ascii="Arial" w:hAnsi="Arial" w:cs="Arial"/>
          <w:color w:val="000000" w:themeColor="text1"/>
          <w:szCs w:val="24"/>
        </w:rPr>
        <w:t>.</w:t>
      </w:r>
    </w:p>
    <w:p w:rsidR="0056517F" w:rsidRPr="00066A0E" w:rsidRDefault="0056517F" w:rsidP="00D65410">
      <w:pPr>
        <w:spacing w:after="200" w:line="276" w:lineRule="auto"/>
        <w:ind w:left="720" w:right="-270"/>
        <w:rPr>
          <w:rFonts w:ascii="Arial" w:hAnsi="Arial" w:cs="Arial"/>
          <w:b/>
          <w:i/>
          <w:color w:val="002060"/>
          <w:szCs w:val="24"/>
        </w:rPr>
      </w:pPr>
      <w:r w:rsidRPr="00066A0E">
        <w:rPr>
          <w:rFonts w:ascii="Arial" w:eastAsiaTheme="minorHAnsi" w:hAnsi="Arial" w:cs="Arial"/>
          <w:b/>
          <w:i/>
          <w:color w:val="002060"/>
          <w:szCs w:val="24"/>
        </w:rPr>
        <w:t>Regional Impairment</w:t>
      </w:r>
      <w:r w:rsidR="00D65410" w:rsidRPr="00066A0E">
        <w:rPr>
          <w:rFonts w:ascii="Arial" w:eastAsiaTheme="minorHAnsi" w:hAnsi="Arial" w:cs="Arial"/>
          <w:b/>
          <w:i/>
          <w:color w:val="002060"/>
          <w:szCs w:val="24"/>
        </w:rPr>
        <w:t>:</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In some instances, the evaluator may be asked to</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express an impairment</w:t>
      </w:r>
      <w:r w:rsidR="00D65410" w:rsidRPr="00066A0E">
        <w:rPr>
          <w:rFonts w:ascii="Arial" w:eastAsiaTheme="minorHAnsi" w:hAnsi="Arial" w:cs="Arial"/>
          <w:b/>
          <w:i/>
          <w:color w:val="002060"/>
          <w:szCs w:val="24"/>
        </w:rPr>
        <w:t xml:space="preserve"> rating in terms of the involve </w:t>
      </w:r>
      <w:r w:rsidRPr="00066A0E">
        <w:rPr>
          <w:rFonts w:ascii="Arial" w:eastAsiaTheme="minorHAnsi" w:hAnsi="Arial" w:cs="Arial"/>
          <w:b/>
          <w:i/>
          <w:color w:val="002060"/>
          <w:szCs w:val="24"/>
        </w:rPr>
        <w:t>spine region, rather than the whole person. This is done</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by dividing the WPI estimate by the % of spine function</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that has been assigned to that region. The conversion</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factors used in the DBI method are the same as</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those used for the DRE method in the Fifth Edition.</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For the purposes of the DBI method, the conversion</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factors are: 0.35 for the cervical spine, 0.20 for the thoracic</w:t>
      </w:r>
      <w:r w:rsidR="00D65410" w:rsidRPr="00066A0E">
        <w:rPr>
          <w:rFonts w:ascii="Arial" w:hAnsi="Arial" w:cs="Arial"/>
          <w:b/>
          <w:i/>
          <w:color w:val="002060"/>
          <w:szCs w:val="24"/>
        </w:rPr>
        <w:t xml:space="preserve"> </w:t>
      </w:r>
      <w:r w:rsidRPr="00066A0E">
        <w:rPr>
          <w:rFonts w:ascii="Arial" w:eastAsiaTheme="minorHAnsi" w:hAnsi="Arial" w:cs="Arial"/>
          <w:b/>
          <w:i/>
          <w:color w:val="002060"/>
          <w:szCs w:val="24"/>
        </w:rPr>
        <w:t>spine, and 0.75 for the lumbar spine.</w:t>
      </w:r>
    </w:p>
    <w:p w:rsidR="00276330" w:rsidRPr="008458A9" w:rsidRDefault="003622D5" w:rsidP="003622D5">
      <w:pPr>
        <w:spacing w:after="200" w:line="276" w:lineRule="auto"/>
        <w:ind w:left="-360" w:right="-270"/>
        <w:rPr>
          <w:rFonts w:ascii="Arial" w:eastAsiaTheme="minorHAnsi" w:hAnsi="Arial" w:cs="Arial"/>
          <w:color w:val="000000" w:themeColor="text1"/>
          <w:szCs w:val="24"/>
        </w:rPr>
      </w:pPr>
      <w:r w:rsidRPr="008458A9">
        <w:rPr>
          <w:rFonts w:ascii="Arial" w:hAnsi="Arial" w:cs="Arial"/>
          <w:color w:val="000000" w:themeColor="text1"/>
          <w:szCs w:val="24"/>
        </w:rPr>
        <w:t>It should be noted that according to the 6</w:t>
      </w:r>
      <w:r w:rsidRPr="008458A9">
        <w:rPr>
          <w:rFonts w:ascii="Arial" w:hAnsi="Arial" w:cs="Arial"/>
          <w:color w:val="000000" w:themeColor="text1"/>
          <w:szCs w:val="24"/>
          <w:vertAlign w:val="superscript"/>
        </w:rPr>
        <w:t>th</w:t>
      </w:r>
      <w:r w:rsidRPr="008458A9">
        <w:rPr>
          <w:rFonts w:ascii="Arial" w:hAnsi="Arial" w:cs="Arial"/>
          <w:color w:val="000000" w:themeColor="text1"/>
          <w:szCs w:val="24"/>
        </w:rPr>
        <w:t xml:space="preserve"> </w:t>
      </w:r>
      <w:r w:rsidRPr="008458A9">
        <w:rPr>
          <w:rFonts w:ascii="Arial" w:hAnsi="Arial" w:cs="Arial"/>
          <w:i/>
          <w:color w:val="000000" w:themeColor="text1"/>
          <w:szCs w:val="24"/>
        </w:rPr>
        <w:t xml:space="preserve">edition </w:t>
      </w:r>
      <w:r w:rsidRPr="00066A0E">
        <w:rPr>
          <w:rFonts w:ascii="Arial" w:hAnsi="Arial" w:cs="Arial"/>
          <w:b/>
          <w:i/>
          <w:color w:val="002060"/>
          <w:szCs w:val="24"/>
        </w:rPr>
        <w:t>“</w:t>
      </w:r>
      <w:r w:rsidRPr="00066A0E">
        <w:rPr>
          <w:rFonts w:ascii="Arial" w:eastAsiaTheme="minorHAnsi" w:hAnsi="Arial" w:cs="Arial"/>
          <w:b/>
          <w:i/>
          <w:color w:val="002060"/>
          <w:szCs w:val="24"/>
        </w:rPr>
        <w:t>T</w:t>
      </w:r>
      <w:r w:rsidR="00713AB0" w:rsidRPr="00066A0E">
        <w:rPr>
          <w:rFonts w:ascii="Arial" w:eastAsiaTheme="minorHAnsi" w:hAnsi="Arial" w:cs="Arial"/>
          <w:b/>
          <w:i/>
          <w:color w:val="002060"/>
          <w:szCs w:val="24"/>
        </w:rPr>
        <w:t>he most important element of the Guides remains the physician' s accurate diagnosis. The increasing complexity of the Guides does not replace the synthesis of clinical judgment with medical knowledge. In fact, the converse is true</w:t>
      </w:r>
      <w:r w:rsidRPr="00066A0E">
        <w:rPr>
          <w:rFonts w:ascii="Arial" w:eastAsiaTheme="minorHAnsi" w:hAnsi="Arial" w:cs="Arial"/>
          <w:b/>
          <w:i/>
          <w:color w:val="002060"/>
          <w:szCs w:val="24"/>
        </w:rPr>
        <w:t>”.</w:t>
      </w:r>
      <w:r w:rsidRPr="00066A0E">
        <w:rPr>
          <w:rFonts w:ascii="Arial" w:eastAsiaTheme="minorHAnsi" w:hAnsi="Arial" w:cs="Arial"/>
          <w:color w:val="002060"/>
          <w:szCs w:val="24"/>
        </w:rPr>
        <w:t xml:space="preserve"> </w:t>
      </w:r>
      <w:r w:rsidRPr="008458A9">
        <w:rPr>
          <w:rFonts w:ascii="Arial" w:eastAsiaTheme="minorHAnsi" w:hAnsi="Arial" w:cs="Arial"/>
          <w:color w:val="000000" w:themeColor="text1"/>
          <w:szCs w:val="24"/>
        </w:rPr>
        <w:t xml:space="preserve">That statement, along with prior </w:t>
      </w:r>
      <w:r w:rsidR="00D7601A" w:rsidRPr="008458A9">
        <w:rPr>
          <w:rFonts w:ascii="Arial" w:eastAsiaTheme="minorHAnsi" w:hAnsi="Arial" w:cs="Arial"/>
          <w:color w:val="000000" w:themeColor="text1"/>
          <w:szCs w:val="24"/>
        </w:rPr>
        <w:t xml:space="preserve">Guides </w:t>
      </w:r>
      <w:r w:rsidRPr="008458A9">
        <w:rPr>
          <w:rFonts w:ascii="Arial" w:eastAsiaTheme="minorHAnsi" w:hAnsi="Arial" w:cs="Arial"/>
          <w:color w:val="000000" w:themeColor="text1"/>
          <w:szCs w:val="24"/>
        </w:rPr>
        <w:t xml:space="preserve">editions </w:t>
      </w:r>
      <w:r w:rsidR="00D7601A" w:rsidRPr="008458A9">
        <w:rPr>
          <w:rFonts w:ascii="Arial" w:eastAsiaTheme="minorHAnsi" w:hAnsi="Arial" w:cs="Arial"/>
          <w:color w:val="000000" w:themeColor="text1"/>
          <w:szCs w:val="24"/>
        </w:rPr>
        <w:t xml:space="preserve">that </w:t>
      </w:r>
      <w:r w:rsidR="0056517F" w:rsidRPr="008458A9">
        <w:rPr>
          <w:rFonts w:ascii="Arial" w:eastAsiaTheme="minorHAnsi" w:hAnsi="Arial" w:cs="Arial"/>
          <w:color w:val="000000" w:themeColor="text1"/>
          <w:szCs w:val="24"/>
        </w:rPr>
        <w:t>indicate</w:t>
      </w:r>
      <w:r w:rsidRPr="008458A9">
        <w:rPr>
          <w:rFonts w:ascii="Arial" w:eastAsiaTheme="minorHAnsi" w:hAnsi="Arial" w:cs="Arial"/>
          <w:color w:val="000000" w:themeColor="text1"/>
          <w:szCs w:val="24"/>
        </w:rPr>
        <w:t xml:space="preserve"> that the physician should rely on their clinical experience, training and judgment in using the </w:t>
      </w:r>
      <w:r w:rsidRPr="008458A9">
        <w:rPr>
          <w:rFonts w:ascii="Arial" w:eastAsiaTheme="minorHAnsi" w:hAnsi="Arial" w:cs="Arial"/>
          <w:color w:val="000000" w:themeColor="text1"/>
          <w:szCs w:val="24"/>
        </w:rPr>
        <w:lastRenderedPageBreak/>
        <w:t>guides, suggests that the guides are</w:t>
      </w:r>
      <w:r w:rsidR="00D7601A" w:rsidRPr="008458A9">
        <w:rPr>
          <w:rFonts w:ascii="Arial" w:eastAsiaTheme="minorHAnsi" w:hAnsi="Arial" w:cs="Arial"/>
          <w:color w:val="000000" w:themeColor="text1"/>
          <w:szCs w:val="24"/>
        </w:rPr>
        <w:t xml:space="preserve"> nothing more than a tool to be used to assist in the assessment of impairment. </w:t>
      </w:r>
    </w:p>
    <w:p w:rsidR="001E7044" w:rsidRPr="008458A9" w:rsidRDefault="00D7601A" w:rsidP="00A370BC">
      <w:pPr>
        <w:spacing w:after="200" w:line="276" w:lineRule="auto"/>
        <w:ind w:left="-360" w:right="-270"/>
        <w:rPr>
          <w:rFonts w:ascii="Arial" w:eastAsiaTheme="minorHAnsi" w:hAnsi="Arial" w:cs="Arial"/>
          <w:color w:val="000000" w:themeColor="text1"/>
          <w:szCs w:val="24"/>
        </w:rPr>
      </w:pPr>
      <w:r w:rsidRPr="008458A9">
        <w:rPr>
          <w:rFonts w:ascii="Arial" w:eastAsiaTheme="minorHAnsi" w:hAnsi="Arial" w:cs="Arial"/>
          <w:color w:val="000000" w:themeColor="text1"/>
          <w:szCs w:val="24"/>
        </w:rPr>
        <w:t xml:space="preserve">For further reading about the AMA Guides I suggest reading the prior newsletters that I have authored on the topic which are available on my web site. They explain many of the controversies, misapplication and inconsistencies within the guide. I also discuss the bias of the authors </w:t>
      </w:r>
      <w:r w:rsidR="0056517F" w:rsidRPr="008458A9">
        <w:rPr>
          <w:rFonts w:ascii="Arial" w:eastAsiaTheme="minorHAnsi" w:hAnsi="Arial" w:cs="Arial"/>
          <w:color w:val="000000" w:themeColor="text1"/>
          <w:szCs w:val="24"/>
        </w:rPr>
        <w:t>whose</w:t>
      </w:r>
      <w:r w:rsidR="005000B4" w:rsidRPr="008458A9">
        <w:rPr>
          <w:rFonts w:ascii="Arial" w:eastAsiaTheme="minorHAnsi" w:hAnsi="Arial" w:cs="Arial"/>
          <w:color w:val="000000" w:themeColor="text1"/>
          <w:szCs w:val="24"/>
        </w:rPr>
        <w:t xml:space="preserve"> financial</w:t>
      </w:r>
      <w:r w:rsidRPr="008458A9">
        <w:rPr>
          <w:rFonts w:ascii="Arial" w:eastAsiaTheme="minorHAnsi" w:hAnsi="Arial" w:cs="Arial"/>
          <w:color w:val="000000" w:themeColor="text1"/>
          <w:szCs w:val="24"/>
        </w:rPr>
        <w:t xml:space="preserve"> interests can be inferred to have a defense mindedness.  Make no mistake</w:t>
      </w:r>
      <w:r w:rsidR="0056517F" w:rsidRPr="008458A9">
        <w:rPr>
          <w:rFonts w:ascii="Arial" w:eastAsiaTheme="minorHAnsi" w:hAnsi="Arial" w:cs="Arial"/>
          <w:color w:val="000000" w:themeColor="text1"/>
          <w:szCs w:val="24"/>
        </w:rPr>
        <w:t>,</w:t>
      </w:r>
      <w:r w:rsidRPr="008458A9">
        <w:rPr>
          <w:rFonts w:ascii="Arial" w:eastAsiaTheme="minorHAnsi" w:hAnsi="Arial" w:cs="Arial"/>
          <w:color w:val="000000" w:themeColor="text1"/>
          <w:szCs w:val="24"/>
        </w:rPr>
        <w:t xml:space="preserve"> the guides were written for the sole purpose of adjudicating claims are not clinical</w:t>
      </w:r>
      <w:r w:rsidR="005000B4" w:rsidRPr="008458A9">
        <w:rPr>
          <w:rFonts w:ascii="Arial" w:eastAsiaTheme="minorHAnsi" w:hAnsi="Arial" w:cs="Arial"/>
          <w:color w:val="000000" w:themeColor="text1"/>
          <w:szCs w:val="24"/>
        </w:rPr>
        <w:t xml:space="preserve"> guides and serve no</w:t>
      </w:r>
      <w:r w:rsidRPr="008458A9">
        <w:rPr>
          <w:rFonts w:ascii="Arial" w:eastAsiaTheme="minorHAnsi" w:hAnsi="Arial" w:cs="Arial"/>
          <w:color w:val="000000" w:themeColor="text1"/>
          <w:szCs w:val="24"/>
        </w:rPr>
        <w:t xml:space="preserve"> clinical purpose. Rather, they serve the sole purpose of helping establish financial awards</w:t>
      </w:r>
      <w:r w:rsidR="005000B4" w:rsidRPr="008458A9">
        <w:rPr>
          <w:rFonts w:ascii="Arial" w:eastAsiaTheme="minorHAnsi" w:hAnsi="Arial" w:cs="Arial"/>
          <w:color w:val="000000" w:themeColor="text1"/>
          <w:szCs w:val="24"/>
        </w:rPr>
        <w:t>,</w:t>
      </w:r>
      <w:r w:rsidRPr="008458A9">
        <w:rPr>
          <w:rFonts w:ascii="Arial" w:eastAsiaTheme="minorHAnsi" w:hAnsi="Arial" w:cs="Arial"/>
          <w:color w:val="000000" w:themeColor="text1"/>
          <w:szCs w:val="24"/>
        </w:rPr>
        <w:t xml:space="preserve"> as they admit in the 1</w:t>
      </w:r>
      <w:r w:rsidRPr="008458A9">
        <w:rPr>
          <w:rFonts w:ascii="Arial" w:eastAsiaTheme="minorHAnsi" w:hAnsi="Arial" w:cs="Arial"/>
          <w:color w:val="000000" w:themeColor="text1"/>
          <w:szCs w:val="24"/>
          <w:vertAlign w:val="superscript"/>
        </w:rPr>
        <w:t>st</w:t>
      </w:r>
      <w:r w:rsidRPr="008458A9">
        <w:rPr>
          <w:rFonts w:ascii="Arial" w:eastAsiaTheme="minorHAnsi" w:hAnsi="Arial" w:cs="Arial"/>
          <w:color w:val="000000" w:themeColor="text1"/>
          <w:szCs w:val="24"/>
        </w:rPr>
        <w:t xml:space="preserve"> chapter. </w:t>
      </w:r>
    </w:p>
    <w:p w:rsidR="005000B4" w:rsidRPr="008458A9" w:rsidRDefault="005000B4" w:rsidP="00A370BC">
      <w:pPr>
        <w:spacing w:after="200" w:line="276" w:lineRule="auto"/>
        <w:ind w:left="-360" w:right="-270"/>
        <w:rPr>
          <w:rFonts w:eastAsiaTheme="minorHAnsi"/>
          <w:color w:val="000000" w:themeColor="text1"/>
          <w:szCs w:val="24"/>
        </w:rPr>
      </w:pPr>
    </w:p>
    <w:sectPr w:rsidR="005000B4" w:rsidRPr="008458A9"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95" w:rsidRDefault="00F23E95" w:rsidP="000D2081">
      <w:r>
        <w:separator/>
      </w:r>
    </w:p>
  </w:endnote>
  <w:endnote w:type="continuationSeparator" w:id="0">
    <w:p w:rsidR="00F23E95" w:rsidRDefault="00F23E9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5" w:rsidRDefault="00F23E95"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1E95A01" wp14:editId="102E8C4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F23E95" w:rsidRPr="00AC28FF" w:rsidRDefault="00F23E95"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F23E95" w:rsidRPr="00AC28FF" w:rsidRDefault="00F23E95"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F23E95" w:rsidRPr="00AC28FF" w:rsidRDefault="00F23E95"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95" w:rsidRDefault="00F23E95" w:rsidP="000D2081">
      <w:r>
        <w:separator/>
      </w:r>
    </w:p>
  </w:footnote>
  <w:footnote w:type="continuationSeparator" w:id="0">
    <w:p w:rsidR="00F23E95" w:rsidRDefault="00F23E9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95" w:rsidRDefault="00F23E95"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1C542FE" wp14:editId="57A7BBF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E95" w:rsidRDefault="00F23E95" w:rsidP="000D2081">
    <w:pPr>
      <w:ind w:left="-810" w:right="-990"/>
      <w:jc w:val="center"/>
      <w:rPr>
        <w:b/>
        <w:color w:val="FF0000"/>
        <w:sz w:val="18"/>
        <w:szCs w:val="18"/>
      </w:rPr>
    </w:pPr>
  </w:p>
  <w:p w:rsidR="00F23E95" w:rsidRDefault="00F23E95" w:rsidP="000D2081">
    <w:pPr>
      <w:ind w:left="-810" w:right="-990"/>
      <w:jc w:val="center"/>
      <w:rPr>
        <w:b/>
        <w:color w:val="FF0000"/>
        <w:sz w:val="18"/>
        <w:szCs w:val="18"/>
      </w:rPr>
    </w:pPr>
  </w:p>
  <w:p w:rsidR="00F23E95" w:rsidRDefault="00F23E95" w:rsidP="000D2081">
    <w:pPr>
      <w:ind w:left="-810" w:right="-990"/>
      <w:jc w:val="center"/>
      <w:rPr>
        <w:b/>
        <w:color w:val="FF0000"/>
        <w:sz w:val="18"/>
        <w:szCs w:val="18"/>
      </w:rPr>
    </w:pPr>
  </w:p>
  <w:p w:rsidR="00F23E95" w:rsidRDefault="00F23E95" w:rsidP="00AF7111">
    <w:pPr>
      <w:tabs>
        <w:tab w:val="left" w:pos="1170"/>
      </w:tabs>
      <w:ind w:left="-810" w:right="-990"/>
      <w:rPr>
        <w:b/>
        <w:color w:val="FF0000"/>
        <w:sz w:val="18"/>
        <w:szCs w:val="18"/>
      </w:rPr>
    </w:pPr>
    <w:r>
      <w:rPr>
        <w:b/>
        <w:color w:val="FF0000"/>
        <w:sz w:val="18"/>
        <w:szCs w:val="18"/>
      </w:rPr>
      <w:tab/>
    </w:r>
  </w:p>
  <w:p w:rsidR="00F23E95" w:rsidRDefault="00F23E95" w:rsidP="00AF7111">
    <w:pPr>
      <w:tabs>
        <w:tab w:val="left" w:pos="1170"/>
      </w:tabs>
      <w:ind w:left="-810" w:right="-990"/>
      <w:rPr>
        <w:b/>
        <w:color w:val="FF0000"/>
        <w:sz w:val="18"/>
        <w:szCs w:val="18"/>
      </w:rPr>
    </w:pPr>
  </w:p>
  <w:p w:rsidR="00F23E95" w:rsidRDefault="00F23E95" w:rsidP="000D2081">
    <w:pPr>
      <w:ind w:left="-810" w:right="-990"/>
      <w:jc w:val="center"/>
      <w:rPr>
        <w:b/>
        <w:color w:val="FF0000"/>
        <w:sz w:val="18"/>
        <w:szCs w:val="18"/>
      </w:rPr>
    </w:pPr>
  </w:p>
  <w:p w:rsidR="00F23E95" w:rsidRDefault="00F23E95"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8E24386" wp14:editId="7B455B3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F23E95" w:rsidRPr="003A3862" w:rsidRDefault="00F23E95"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F23E95" w:rsidRDefault="00F23E95"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ECA6B7C" wp14:editId="268A479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7"/>
  </w:num>
  <w:num w:numId="6">
    <w:abstractNumId w:val="11"/>
  </w:num>
  <w:num w:numId="7">
    <w:abstractNumId w:val="1"/>
  </w:num>
  <w:num w:numId="8">
    <w:abstractNumId w:val="5"/>
  </w:num>
  <w:num w:numId="9">
    <w:abstractNumId w:val="13"/>
  </w:num>
  <w:num w:numId="10">
    <w:abstractNumId w:val="14"/>
  </w:num>
  <w:num w:numId="11">
    <w:abstractNumId w:val="8"/>
  </w:num>
  <w:num w:numId="12">
    <w:abstractNumId w:val="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4F1A"/>
    <w:rsid w:val="00010CE1"/>
    <w:rsid w:val="0001602A"/>
    <w:rsid w:val="0002476D"/>
    <w:rsid w:val="00027087"/>
    <w:rsid w:val="00031BFD"/>
    <w:rsid w:val="000324D5"/>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76E8"/>
    <w:rsid w:val="000D0BB1"/>
    <w:rsid w:val="000D2081"/>
    <w:rsid w:val="000D6617"/>
    <w:rsid w:val="00102D6B"/>
    <w:rsid w:val="00115B80"/>
    <w:rsid w:val="00120558"/>
    <w:rsid w:val="00124B05"/>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92B63"/>
    <w:rsid w:val="001A0268"/>
    <w:rsid w:val="001A1D5D"/>
    <w:rsid w:val="001A30B0"/>
    <w:rsid w:val="001B2696"/>
    <w:rsid w:val="001B7580"/>
    <w:rsid w:val="001C499F"/>
    <w:rsid w:val="001D55A5"/>
    <w:rsid w:val="001D6E23"/>
    <w:rsid w:val="001E7044"/>
    <w:rsid w:val="002030D6"/>
    <w:rsid w:val="00204E1E"/>
    <w:rsid w:val="00205220"/>
    <w:rsid w:val="00220A43"/>
    <w:rsid w:val="0023207E"/>
    <w:rsid w:val="00235FC8"/>
    <w:rsid w:val="0024470B"/>
    <w:rsid w:val="002607EA"/>
    <w:rsid w:val="00260C5C"/>
    <w:rsid w:val="0027555D"/>
    <w:rsid w:val="00276330"/>
    <w:rsid w:val="00291A05"/>
    <w:rsid w:val="00292FAF"/>
    <w:rsid w:val="002A07E5"/>
    <w:rsid w:val="002A2D1E"/>
    <w:rsid w:val="002B2252"/>
    <w:rsid w:val="002B4260"/>
    <w:rsid w:val="002D2E50"/>
    <w:rsid w:val="002D4E8A"/>
    <w:rsid w:val="002D56A9"/>
    <w:rsid w:val="002E6C0A"/>
    <w:rsid w:val="00312649"/>
    <w:rsid w:val="003138E1"/>
    <w:rsid w:val="00315D5D"/>
    <w:rsid w:val="00316B54"/>
    <w:rsid w:val="00321003"/>
    <w:rsid w:val="003309A7"/>
    <w:rsid w:val="00332BA1"/>
    <w:rsid w:val="003349DB"/>
    <w:rsid w:val="00335212"/>
    <w:rsid w:val="00340101"/>
    <w:rsid w:val="00350BFF"/>
    <w:rsid w:val="003540F9"/>
    <w:rsid w:val="003573CF"/>
    <w:rsid w:val="003622D5"/>
    <w:rsid w:val="0036352A"/>
    <w:rsid w:val="003702C8"/>
    <w:rsid w:val="00371043"/>
    <w:rsid w:val="00375AFB"/>
    <w:rsid w:val="0037710B"/>
    <w:rsid w:val="003820D9"/>
    <w:rsid w:val="003921F6"/>
    <w:rsid w:val="0039255D"/>
    <w:rsid w:val="00396EBD"/>
    <w:rsid w:val="003A0F6B"/>
    <w:rsid w:val="003B5336"/>
    <w:rsid w:val="003B73AB"/>
    <w:rsid w:val="003C134B"/>
    <w:rsid w:val="003E7121"/>
    <w:rsid w:val="003F7537"/>
    <w:rsid w:val="00402C71"/>
    <w:rsid w:val="00415A27"/>
    <w:rsid w:val="00415B7A"/>
    <w:rsid w:val="00426820"/>
    <w:rsid w:val="004423E9"/>
    <w:rsid w:val="004505DC"/>
    <w:rsid w:val="004632E5"/>
    <w:rsid w:val="00464443"/>
    <w:rsid w:val="0046539B"/>
    <w:rsid w:val="0047636C"/>
    <w:rsid w:val="0048217F"/>
    <w:rsid w:val="0048567E"/>
    <w:rsid w:val="00492B9B"/>
    <w:rsid w:val="004A3747"/>
    <w:rsid w:val="004B4B62"/>
    <w:rsid w:val="004D1C2D"/>
    <w:rsid w:val="004D47FF"/>
    <w:rsid w:val="004E0A00"/>
    <w:rsid w:val="004E6159"/>
    <w:rsid w:val="004E78CD"/>
    <w:rsid w:val="004F24D4"/>
    <w:rsid w:val="004F31C8"/>
    <w:rsid w:val="004F77F4"/>
    <w:rsid w:val="005000B4"/>
    <w:rsid w:val="0050162E"/>
    <w:rsid w:val="00507DA1"/>
    <w:rsid w:val="00513D73"/>
    <w:rsid w:val="0052471A"/>
    <w:rsid w:val="00530B01"/>
    <w:rsid w:val="00533F92"/>
    <w:rsid w:val="00537265"/>
    <w:rsid w:val="00545813"/>
    <w:rsid w:val="005549E8"/>
    <w:rsid w:val="0056517F"/>
    <w:rsid w:val="00566AF6"/>
    <w:rsid w:val="00567B8A"/>
    <w:rsid w:val="00586F9E"/>
    <w:rsid w:val="00587D34"/>
    <w:rsid w:val="00592D7B"/>
    <w:rsid w:val="005B6426"/>
    <w:rsid w:val="005C2E30"/>
    <w:rsid w:val="005D4816"/>
    <w:rsid w:val="005D5F01"/>
    <w:rsid w:val="005E1B61"/>
    <w:rsid w:val="005E2F34"/>
    <w:rsid w:val="005F7C44"/>
    <w:rsid w:val="00602BB9"/>
    <w:rsid w:val="00612179"/>
    <w:rsid w:val="00615094"/>
    <w:rsid w:val="00620587"/>
    <w:rsid w:val="00624A66"/>
    <w:rsid w:val="00642E78"/>
    <w:rsid w:val="00654395"/>
    <w:rsid w:val="00654515"/>
    <w:rsid w:val="00655317"/>
    <w:rsid w:val="00666F47"/>
    <w:rsid w:val="006677A2"/>
    <w:rsid w:val="006760B5"/>
    <w:rsid w:val="00681408"/>
    <w:rsid w:val="0068280A"/>
    <w:rsid w:val="006A0A25"/>
    <w:rsid w:val="006A2B2D"/>
    <w:rsid w:val="006A309E"/>
    <w:rsid w:val="006B2217"/>
    <w:rsid w:val="006B65A2"/>
    <w:rsid w:val="006B7321"/>
    <w:rsid w:val="006C4A59"/>
    <w:rsid w:val="006E2001"/>
    <w:rsid w:val="006E2FF6"/>
    <w:rsid w:val="006F2375"/>
    <w:rsid w:val="006F5B8F"/>
    <w:rsid w:val="006F6239"/>
    <w:rsid w:val="00701EFF"/>
    <w:rsid w:val="00713AB0"/>
    <w:rsid w:val="00720C09"/>
    <w:rsid w:val="00725C86"/>
    <w:rsid w:val="00735C3B"/>
    <w:rsid w:val="007407A5"/>
    <w:rsid w:val="00743ED4"/>
    <w:rsid w:val="00774826"/>
    <w:rsid w:val="00780E8F"/>
    <w:rsid w:val="00783304"/>
    <w:rsid w:val="0079339E"/>
    <w:rsid w:val="0079475C"/>
    <w:rsid w:val="00794918"/>
    <w:rsid w:val="007A60D0"/>
    <w:rsid w:val="007B2D4F"/>
    <w:rsid w:val="007E050F"/>
    <w:rsid w:val="007E78AD"/>
    <w:rsid w:val="007F4EF5"/>
    <w:rsid w:val="007F5498"/>
    <w:rsid w:val="007F5590"/>
    <w:rsid w:val="00801BEE"/>
    <w:rsid w:val="00813C1B"/>
    <w:rsid w:val="00830051"/>
    <w:rsid w:val="00831800"/>
    <w:rsid w:val="00834519"/>
    <w:rsid w:val="008356A3"/>
    <w:rsid w:val="008378B5"/>
    <w:rsid w:val="0084154D"/>
    <w:rsid w:val="008445AA"/>
    <w:rsid w:val="008458A9"/>
    <w:rsid w:val="00847C06"/>
    <w:rsid w:val="0085492D"/>
    <w:rsid w:val="0086045B"/>
    <w:rsid w:val="00861676"/>
    <w:rsid w:val="00870564"/>
    <w:rsid w:val="00873547"/>
    <w:rsid w:val="008767E1"/>
    <w:rsid w:val="00882964"/>
    <w:rsid w:val="0088566D"/>
    <w:rsid w:val="00885CFC"/>
    <w:rsid w:val="00890E0A"/>
    <w:rsid w:val="00894336"/>
    <w:rsid w:val="00896D67"/>
    <w:rsid w:val="00897F7F"/>
    <w:rsid w:val="008A03DD"/>
    <w:rsid w:val="008A14A4"/>
    <w:rsid w:val="008B4146"/>
    <w:rsid w:val="008C61AB"/>
    <w:rsid w:val="008C7054"/>
    <w:rsid w:val="008D126A"/>
    <w:rsid w:val="008D35CF"/>
    <w:rsid w:val="008E16A7"/>
    <w:rsid w:val="008E7B86"/>
    <w:rsid w:val="008F10F9"/>
    <w:rsid w:val="008F73A7"/>
    <w:rsid w:val="0090376E"/>
    <w:rsid w:val="00912122"/>
    <w:rsid w:val="00917973"/>
    <w:rsid w:val="0094061B"/>
    <w:rsid w:val="00942C84"/>
    <w:rsid w:val="00943561"/>
    <w:rsid w:val="009543F1"/>
    <w:rsid w:val="00964C9F"/>
    <w:rsid w:val="009669D4"/>
    <w:rsid w:val="009726EE"/>
    <w:rsid w:val="00974D7E"/>
    <w:rsid w:val="009800F0"/>
    <w:rsid w:val="00980109"/>
    <w:rsid w:val="009907B9"/>
    <w:rsid w:val="009932F2"/>
    <w:rsid w:val="00996157"/>
    <w:rsid w:val="009A43C8"/>
    <w:rsid w:val="009B5E32"/>
    <w:rsid w:val="009D2330"/>
    <w:rsid w:val="009D4BB2"/>
    <w:rsid w:val="009D54E0"/>
    <w:rsid w:val="009E087E"/>
    <w:rsid w:val="009E455C"/>
    <w:rsid w:val="009E5516"/>
    <w:rsid w:val="009F024C"/>
    <w:rsid w:val="00A05D69"/>
    <w:rsid w:val="00A10D52"/>
    <w:rsid w:val="00A174FB"/>
    <w:rsid w:val="00A20C0B"/>
    <w:rsid w:val="00A23BAC"/>
    <w:rsid w:val="00A25DD7"/>
    <w:rsid w:val="00A30626"/>
    <w:rsid w:val="00A34FA3"/>
    <w:rsid w:val="00A370BC"/>
    <w:rsid w:val="00A629BE"/>
    <w:rsid w:val="00A630AE"/>
    <w:rsid w:val="00A64E6A"/>
    <w:rsid w:val="00A75B42"/>
    <w:rsid w:val="00A76D3E"/>
    <w:rsid w:val="00A82119"/>
    <w:rsid w:val="00A85A4A"/>
    <w:rsid w:val="00AA6682"/>
    <w:rsid w:val="00AC192B"/>
    <w:rsid w:val="00AC28FF"/>
    <w:rsid w:val="00AC54F4"/>
    <w:rsid w:val="00AD0369"/>
    <w:rsid w:val="00AE29F4"/>
    <w:rsid w:val="00AF0730"/>
    <w:rsid w:val="00AF1A5A"/>
    <w:rsid w:val="00AF33D7"/>
    <w:rsid w:val="00AF60BA"/>
    <w:rsid w:val="00AF7111"/>
    <w:rsid w:val="00B030F3"/>
    <w:rsid w:val="00B10E5A"/>
    <w:rsid w:val="00B2431D"/>
    <w:rsid w:val="00B46792"/>
    <w:rsid w:val="00B5023D"/>
    <w:rsid w:val="00B50C55"/>
    <w:rsid w:val="00B5310E"/>
    <w:rsid w:val="00B5319F"/>
    <w:rsid w:val="00B542B4"/>
    <w:rsid w:val="00B552AD"/>
    <w:rsid w:val="00B5740F"/>
    <w:rsid w:val="00B60AFD"/>
    <w:rsid w:val="00B61D8E"/>
    <w:rsid w:val="00B661B6"/>
    <w:rsid w:val="00B9004F"/>
    <w:rsid w:val="00B9346A"/>
    <w:rsid w:val="00B95399"/>
    <w:rsid w:val="00BB14C6"/>
    <w:rsid w:val="00BB7B07"/>
    <w:rsid w:val="00BD7D03"/>
    <w:rsid w:val="00BE0B7C"/>
    <w:rsid w:val="00BF0717"/>
    <w:rsid w:val="00BF3C42"/>
    <w:rsid w:val="00BF4428"/>
    <w:rsid w:val="00C052A7"/>
    <w:rsid w:val="00C13680"/>
    <w:rsid w:val="00C13A19"/>
    <w:rsid w:val="00C16B05"/>
    <w:rsid w:val="00C25F44"/>
    <w:rsid w:val="00C33075"/>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65410"/>
    <w:rsid w:val="00D7009A"/>
    <w:rsid w:val="00D72CD8"/>
    <w:rsid w:val="00D7601A"/>
    <w:rsid w:val="00D85C83"/>
    <w:rsid w:val="00D96979"/>
    <w:rsid w:val="00DB3967"/>
    <w:rsid w:val="00DC22F8"/>
    <w:rsid w:val="00DC28CF"/>
    <w:rsid w:val="00DC2F70"/>
    <w:rsid w:val="00DD0087"/>
    <w:rsid w:val="00DE6B95"/>
    <w:rsid w:val="00DF4CE4"/>
    <w:rsid w:val="00E01540"/>
    <w:rsid w:val="00E03FEC"/>
    <w:rsid w:val="00E23716"/>
    <w:rsid w:val="00E23FA4"/>
    <w:rsid w:val="00E24A87"/>
    <w:rsid w:val="00E27299"/>
    <w:rsid w:val="00E32AC2"/>
    <w:rsid w:val="00E3307A"/>
    <w:rsid w:val="00E3596C"/>
    <w:rsid w:val="00E64A74"/>
    <w:rsid w:val="00E64F22"/>
    <w:rsid w:val="00E666AA"/>
    <w:rsid w:val="00E67554"/>
    <w:rsid w:val="00E703C9"/>
    <w:rsid w:val="00E71DA8"/>
    <w:rsid w:val="00E83493"/>
    <w:rsid w:val="00E958DE"/>
    <w:rsid w:val="00EA6FA9"/>
    <w:rsid w:val="00EB0DAF"/>
    <w:rsid w:val="00EB49A8"/>
    <w:rsid w:val="00EB53D8"/>
    <w:rsid w:val="00EC18C0"/>
    <w:rsid w:val="00ED43A8"/>
    <w:rsid w:val="00ED5886"/>
    <w:rsid w:val="00EE4E85"/>
    <w:rsid w:val="00F06D81"/>
    <w:rsid w:val="00F116F6"/>
    <w:rsid w:val="00F125FD"/>
    <w:rsid w:val="00F15293"/>
    <w:rsid w:val="00F174BE"/>
    <w:rsid w:val="00F239A5"/>
    <w:rsid w:val="00F23E95"/>
    <w:rsid w:val="00F27623"/>
    <w:rsid w:val="00F30152"/>
    <w:rsid w:val="00F36AC1"/>
    <w:rsid w:val="00F44884"/>
    <w:rsid w:val="00F608D3"/>
    <w:rsid w:val="00F61C50"/>
    <w:rsid w:val="00F758C6"/>
    <w:rsid w:val="00F83823"/>
    <w:rsid w:val="00F91750"/>
    <w:rsid w:val="00F92CDF"/>
    <w:rsid w:val="00F96BD7"/>
    <w:rsid w:val="00FA4D2D"/>
    <w:rsid w:val="00FC2804"/>
    <w:rsid w:val="00FC50F8"/>
    <w:rsid w:val="00FC5277"/>
    <w:rsid w:val="00FC72D4"/>
    <w:rsid w:val="00FD2C06"/>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owaworkcomp.gov/sites/authoring.iowadivisionofworkcomp.gov/files/kuhnleinreport.pdf" TargetMode="External"/><Relationship Id="rId4" Type="http://schemas.microsoft.com/office/2007/relationships/stylesWithEffects" Target="stylesWithEffects.xml"/><Relationship Id="rId9" Type="http://schemas.openxmlformats.org/officeDocument/2006/relationships/hyperlink" Target="http://www.shawchiropractic.com/newsletter/WEB%20-130%20-The%20AMA%20Guides%206th%20Casebook%20Exemplifies%20Interedition%20Issu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7BEF-7033-4F50-A119-8C98FE6F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2018-08-23T12:01:00Z</cp:lastPrinted>
  <dcterms:created xsi:type="dcterms:W3CDTF">2018-08-23T12:00:00Z</dcterms:created>
  <dcterms:modified xsi:type="dcterms:W3CDTF">2018-08-23T12:01:00Z</dcterms:modified>
</cp:coreProperties>
</file>