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22F8" w:rsidRPr="00235FC8" w:rsidRDefault="00A370BC" w:rsidP="009543F1">
      <w:pPr>
        <w:spacing w:after="200" w:line="276" w:lineRule="auto"/>
        <w:ind w:left="-360" w:right="-270"/>
        <w:jc w:val="center"/>
        <w:rPr>
          <w:rFonts w:eastAsiaTheme="minorHAnsi"/>
          <w:b/>
          <w:color w:val="1F497D" w:themeColor="text2"/>
          <w:sz w:val="52"/>
          <w:szCs w:val="52"/>
        </w:rPr>
      </w:pPr>
      <w:bookmarkStart w:id="0" w:name="_GoBack"/>
      <w:bookmarkEnd w:id="0"/>
      <w:r>
        <w:rPr>
          <w:rFonts w:eastAsiaTheme="minorHAnsi"/>
          <w:b/>
          <w:color w:val="1F497D" w:themeColor="text2"/>
          <w:sz w:val="52"/>
          <w:szCs w:val="52"/>
        </w:rPr>
        <w:t>Arthritis as a Confounding Factor</w:t>
      </w:r>
    </w:p>
    <w:p w:rsidR="003138E1" w:rsidRPr="0068280A" w:rsidRDefault="003138E1" w:rsidP="00A370BC">
      <w:pPr>
        <w:spacing w:after="200" w:line="276" w:lineRule="auto"/>
        <w:ind w:left="-360" w:right="-270"/>
        <w:rPr>
          <w:rFonts w:eastAsiaTheme="minorHAnsi"/>
          <w:szCs w:val="24"/>
        </w:rPr>
      </w:pPr>
      <w:r w:rsidRPr="0068280A">
        <w:rPr>
          <w:rFonts w:eastAsiaTheme="minorHAnsi"/>
          <w:szCs w:val="24"/>
        </w:rPr>
        <w:t xml:space="preserve">How often have you been told </w:t>
      </w:r>
      <w:r w:rsidR="00912122">
        <w:rPr>
          <w:rFonts w:eastAsiaTheme="minorHAnsi"/>
          <w:szCs w:val="24"/>
        </w:rPr>
        <w:t xml:space="preserve">by insurance adjusters </w:t>
      </w:r>
      <w:r w:rsidRPr="0068280A">
        <w:rPr>
          <w:rFonts w:eastAsiaTheme="minorHAnsi"/>
          <w:szCs w:val="24"/>
        </w:rPr>
        <w:t xml:space="preserve">that your client’s complaints existed before the accident as demonstrated by the pre-existing degenerative arthritis in medical records or imaging studies? This diversionary technique has been somewhat effective over the years </w:t>
      </w:r>
      <w:r w:rsidR="00912122" w:rsidRPr="0068280A">
        <w:rPr>
          <w:rFonts w:eastAsiaTheme="minorHAnsi"/>
          <w:szCs w:val="24"/>
        </w:rPr>
        <w:t>but a</w:t>
      </w:r>
      <w:r w:rsidRPr="0068280A">
        <w:rPr>
          <w:rFonts w:eastAsiaTheme="minorHAnsi"/>
          <w:szCs w:val="24"/>
        </w:rPr>
        <w:t xml:space="preserve"> new epidemiological study published in </w:t>
      </w:r>
      <w:r w:rsidRPr="00A174FB">
        <w:rPr>
          <w:rFonts w:eastAsiaTheme="minorHAnsi"/>
          <w:b/>
          <w:szCs w:val="24"/>
          <w:u w:val="single"/>
        </w:rPr>
        <w:t>Arthritis and Rheumatology</w:t>
      </w:r>
      <w:r w:rsidRPr="0068280A">
        <w:rPr>
          <w:rFonts w:eastAsiaTheme="minorHAnsi"/>
          <w:szCs w:val="24"/>
        </w:rPr>
        <w:t xml:space="preserve"> </w:t>
      </w:r>
      <w:r w:rsidR="0068280A" w:rsidRPr="0068280A">
        <w:rPr>
          <w:rFonts w:eastAsiaTheme="minorHAnsi"/>
          <w:szCs w:val="24"/>
        </w:rPr>
        <w:t>may provide us with data that can be used to minimize the impact of that argument.</w:t>
      </w:r>
    </w:p>
    <w:p w:rsidR="00861676" w:rsidRPr="00774826" w:rsidRDefault="0068280A" w:rsidP="00861676">
      <w:pPr>
        <w:spacing w:after="200" w:line="276" w:lineRule="auto"/>
        <w:ind w:left="-360" w:right="-270"/>
        <w:rPr>
          <w:rFonts w:eastAsiaTheme="minorHAnsi"/>
          <w:szCs w:val="24"/>
        </w:rPr>
      </w:pPr>
      <w:r w:rsidRPr="00774826">
        <w:rPr>
          <w:rFonts w:eastAsiaTheme="minorHAnsi"/>
          <w:szCs w:val="24"/>
        </w:rPr>
        <w:t>Two epidemiologists from Boston University School of Medicine</w:t>
      </w:r>
      <w:r w:rsidR="003349DB" w:rsidRPr="001A30B0">
        <w:rPr>
          <w:szCs w:val="24"/>
        </w:rPr>
        <w:t xml:space="preserve"> (S. Reza </w:t>
      </w:r>
      <w:proofErr w:type="spellStart"/>
      <w:r w:rsidR="003349DB" w:rsidRPr="001A30B0">
        <w:rPr>
          <w:szCs w:val="24"/>
        </w:rPr>
        <w:t>Jafarzadeh</w:t>
      </w:r>
      <w:proofErr w:type="spellEnd"/>
      <w:r w:rsidR="003349DB" w:rsidRPr="001A30B0">
        <w:rPr>
          <w:szCs w:val="24"/>
        </w:rPr>
        <w:t xml:space="preserve">, DVM, MPVM, PhD, and David T. </w:t>
      </w:r>
      <w:proofErr w:type="spellStart"/>
      <w:r w:rsidR="003349DB" w:rsidRPr="001A30B0">
        <w:rPr>
          <w:szCs w:val="24"/>
        </w:rPr>
        <w:t>Felson</w:t>
      </w:r>
      <w:proofErr w:type="spellEnd"/>
      <w:r w:rsidR="003349DB" w:rsidRPr="001A30B0">
        <w:rPr>
          <w:szCs w:val="24"/>
        </w:rPr>
        <w:t xml:space="preserve">, MD, MPH) </w:t>
      </w:r>
      <w:r w:rsidRPr="00774826">
        <w:rPr>
          <w:rFonts w:eastAsiaTheme="minorHAnsi"/>
          <w:szCs w:val="24"/>
        </w:rPr>
        <w:t xml:space="preserve">looked at data from 33,672 </w:t>
      </w:r>
      <w:r w:rsidR="00912122" w:rsidRPr="00774826">
        <w:rPr>
          <w:rFonts w:eastAsiaTheme="minorHAnsi"/>
          <w:szCs w:val="24"/>
        </w:rPr>
        <w:t>patients</w:t>
      </w:r>
      <w:r w:rsidRPr="00774826">
        <w:rPr>
          <w:rFonts w:eastAsiaTheme="minorHAnsi"/>
          <w:szCs w:val="24"/>
        </w:rPr>
        <w:t xml:space="preserve"> in the 2015 National Health Interview Survey. They found that arthritis percentages are much higher than expected and at a younger age than previously thought. </w:t>
      </w:r>
      <w:r w:rsidRPr="001A30B0">
        <w:rPr>
          <w:shd w:val="clear" w:color="auto" w:fill="FFFFFF"/>
        </w:rPr>
        <w:t xml:space="preserve">Among adults aged 18-64 years, 19.3% of men and 16.7% of women reported joint symptoms without having a doctor’s diagnosis of arthritis. For participants 65 years of age and older, 15.7% of men and 13.5% of women reported the same. The researchers then applied their expanded definition of arthritis from their updated method for arthritis surveillance and they found that the prevalence in adults aged 18-64 years was 29.9% in men and 31.2% in women. In the older than 65 </w:t>
      </w:r>
      <w:r w:rsidR="00861676" w:rsidRPr="001A30B0">
        <w:rPr>
          <w:shd w:val="clear" w:color="auto" w:fill="FFFFFF"/>
        </w:rPr>
        <w:t>populations</w:t>
      </w:r>
      <w:r w:rsidRPr="001A30B0">
        <w:rPr>
          <w:shd w:val="clear" w:color="auto" w:fill="FFFFFF"/>
        </w:rPr>
        <w:t xml:space="preserve">, the prevalence was 55.8% in men and 68.7% in women. </w:t>
      </w:r>
      <w:r w:rsidR="00861676" w:rsidRPr="001A30B0">
        <w:rPr>
          <w:shd w:val="clear" w:color="auto" w:fill="FFFFFF"/>
        </w:rPr>
        <w:t>An extrapolation of their</w:t>
      </w:r>
      <w:r w:rsidRPr="001A30B0">
        <w:rPr>
          <w:shd w:val="clear" w:color="auto" w:fill="FFFFFF"/>
        </w:rPr>
        <w:t xml:space="preserve"> data suggested that arthritis affected 91.2 million adults (36.8% of US adults) in </w:t>
      </w:r>
      <w:proofErr w:type="gramStart"/>
      <w:r w:rsidRPr="001A30B0">
        <w:rPr>
          <w:shd w:val="clear" w:color="auto" w:fill="FFFFFF"/>
        </w:rPr>
        <w:t>2015,</w:t>
      </w:r>
      <w:proofErr w:type="gramEnd"/>
      <w:r w:rsidRPr="001A30B0">
        <w:rPr>
          <w:shd w:val="clear" w:color="auto" w:fill="FFFFFF"/>
        </w:rPr>
        <w:t xml:space="preserve"> including 61.1 million of those aged 18-64 years (24.7% of US adults). This estimate is 68% higher than the previous estimate of 52.9 million Americans with diagnosed arthritis</w:t>
      </w:r>
      <w:r w:rsidR="00861676" w:rsidRPr="00774826">
        <w:rPr>
          <w:rFonts w:eastAsiaTheme="minorHAnsi"/>
          <w:szCs w:val="24"/>
        </w:rPr>
        <w:t>.</w:t>
      </w:r>
    </w:p>
    <w:p w:rsidR="00861676" w:rsidRDefault="00861676" w:rsidP="00861676">
      <w:pPr>
        <w:spacing w:after="200" w:line="276" w:lineRule="auto"/>
        <w:ind w:left="-360" w:right="-270"/>
        <w:rPr>
          <w:rFonts w:eastAsiaTheme="minorHAnsi"/>
          <w:szCs w:val="24"/>
        </w:rPr>
      </w:pPr>
      <w:r>
        <w:rPr>
          <w:rFonts w:eastAsiaTheme="minorHAnsi"/>
          <w:szCs w:val="24"/>
        </w:rPr>
        <w:t>So, what this tells us is that over 1/3</w:t>
      </w:r>
      <w:r w:rsidRPr="00861676">
        <w:rPr>
          <w:rFonts w:eastAsiaTheme="minorHAnsi"/>
          <w:szCs w:val="24"/>
          <w:vertAlign w:val="superscript"/>
        </w:rPr>
        <w:t>rd</w:t>
      </w:r>
      <w:r>
        <w:rPr>
          <w:rFonts w:eastAsiaTheme="minorHAnsi"/>
          <w:szCs w:val="24"/>
        </w:rPr>
        <w:t xml:space="preserve"> of the US population has some form of arthritis symptoms that may or may not be properly diagnosed. How does this information help your clients? You might be thinking that 1/3</w:t>
      </w:r>
      <w:r w:rsidRPr="00861676">
        <w:rPr>
          <w:rFonts w:eastAsiaTheme="minorHAnsi"/>
          <w:szCs w:val="24"/>
          <w:vertAlign w:val="superscript"/>
        </w:rPr>
        <w:t>rd</w:t>
      </w:r>
      <w:r>
        <w:rPr>
          <w:rFonts w:eastAsiaTheme="minorHAnsi"/>
          <w:szCs w:val="24"/>
        </w:rPr>
        <w:t xml:space="preserve"> of your clients now have </w:t>
      </w:r>
      <w:r w:rsidR="00A174FB">
        <w:rPr>
          <w:rFonts w:eastAsiaTheme="minorHAnsi"/>
          <w:szCs w:val="24"/>
        </w:rPr>
        <w:t>prior problems that, to some degree, require</w:t>
      </w:r>
      <w:r w:rsidR="00B9346A">
        <w:rPr>
          <w:rFonts w:eastAsiaTheme="minorHAnsi"/>
          <w:szCs w:val="24"/>
        </w:rPr>
        <w:t xml:space="preserve"> </w:t>
      </w:r>
      <w:r>
        <w:rPr>
          <w:rFonts w:eastAsiaTheme="minorHAnsi"/>
          <w:szCs w:val="24"/>
        </w:rPr>
        <w:t>apportion</w:t>
      </w:r>
      <w:r w:rsidR="00B9346A">
        <w:rPr>
          <w:rFonts w:eastAsiaTheme="minorHAnsi"/>
          <w:szCs w:val="24"/>
        </w:rPr>
        <w:t>ment</w:t>
      </w:r>
      <w:r>
        <w:rPr>
          <w:rFonts w:eastAsiaTheme="minorHAnsi"/>
          <w:szCs w:val="24"/>
        </w:rPr>
        <w:t>. I see it completely different. I see that 1/3</w:t>
      </w:r>
      <w:r w:rsidRPr="00861676">
        <w:rPr>
          <w:rFonts w:eastAsiaTheme="minorHAnsi"/>
          <w:szCs w:val="24"/>
          <w:vertAlign w:val="superscript"/>
        </w:rPr>
        <w:t>rd</w:t>
      </w:r>
      <w:r>
        <w:rPr>
          <w:rFonts w:eastAsiaTheme="minorHAnsi"/>
          <w:szCs w:val="24"/>
        </w:rPr>
        <w:t xml:space="preserve"> of your clients have a condition that makes them more vulnerable to injuries that otherwise may not have occurred had they been </w:t>
      </w:r>
      <w:r w:rsidR="00A174FB">
        <w:rPr>
          <w:rFonts w:eastAsiaTheme="minorHAnsi"/>
          <w:szCs w:val="24"/>
        </w:rPr>
        <w:t>healthy</w:t>
      </w:r>
      <w:r w:rsidR="00B9346A">
        <w:rPr>
          <w:rFonts w:eastAsiaTheme="minorHAnsi"/>
          <w:szCs w:val="24"/>
        </w:rPr>
        <w:t>. In fact, you can now argue that arthritis is practically a normal condition for a great part of the US and that your client is no different than practically any other American.</w:t>
      </w:r>
    </w:p>
    <w:p w:rsidR="00861676" w:rsidRDefault="00861676" w:rsidP="00861676">
      <w:pPr>
        <w:spacing w:after="200" w:line="276" w:lineRule="auto"/>
        <w:ind w:left="-360" w:right="-270"/>
        <w:rPr>
          <w:rFonts w:eastAsiaTheme="minorHAnsi"/>
          <w:szCs w:val="24"/>
        </w:rPr>
      </w:pPr>
      <w:r>
        <w:rPr>
          <w:rFonts w:eastAsiaTheme="minorHAnsi"/>
          <w:szCs w:val="24"/>
        </w:rPr>
        <w:t xml:space="preserve">I understand the </w:t>
      </w:r>
      <w:r w:rsidR="0005044D">
        <w:rPr>
          <w:rFonts w:eastAsiaTheme="minorHAnsi"/>
          <w:szCs w:val="24"/>
        </w:rPr>
        <w:t xml:space="preserve">“eggshell client” and </w:t>
      </w:r>
      <w:r>
        <w:rPr>
          <w:rFonts w:eastAsiaTheme="minorHAnsi"/>
          <w:szCs w:val="24"/>
        </w:rPr>
        <w:t>“taking your client as you find them” is Personal Injury 101(and Medicine 101 too)</w:t>
      </w:r>
      <w:r w:rsidR="00774826">
        <w:rPr>
          <w:rFonts w:eastAsiaTheme="minorHAnsi"/>
          <w:szCs w:val="24"/>
        </w:rPr>
        <w:t>,</w:t>
      </w:r>
      <w:r>
        <w:rPr>
          <w:rFonts w:eastAsiaTheme="minorHAnsi"/>
          <w:szCs w:val="24"/>
        </w:rPr>
        <w:t xml:space="preserve"> but having studied </w:t>
      </w:r>
      <w:r w:rsidR="0005044D">
        <w:rPr>
          <w:rFonts w:eastAsiaTheme="minorHAnsi"/>
          <w:szCs w:val="24"/>
        </w:rPr>
        <w:t xml:space="preserve">trauma </w:t>
      </w:r>
      <w:r>
        <w:rPr>
          <w:rFonts w:eastAsiaTheme="minorHAnsi"/>
          <w:szCs w:val="24"/>
        </w:rPr>
        <w:t xml:space="preserve">biomechanics and </w:t>
      </w:r>
      <w:r w:rsidR="0005044D">
        <w:rPr>
          <w:rFonts w:eastAsiaTheme="minorHAnsi"/>
          <w:szCs w:val="24"/>
        </w:rPr>
        <w:t xml:space="preserve">other related injury mechanism data, I </w:t>
      </w:r>
      <w:r w:rsidR="00B9346A">
        <w:rPr>
          <w:rFonts w:eastAsiaTheme="minorHAnsi"/>
          <w:szCs w:val="24"/>
        </w:rPr>
        <w:t xml:space="preserve">can </w:t>
      </w:r>
      <w:r w:rsidR="0005044D">
        <w:rPr>
          <w:rFonts w:eastAsiaTheme="minorHAnsi"/>
          <w:szCs w:val="24"/>
        </w:rPr>
        <w:t xml:space="preserve">appreciate the significant confounding impact that a premorbid condition like arthritis of any type can have on injury potential. Let’s face it, not every person in the US has a perfectly healthy body with optimal muscular tone and fitness. The majority of people have health issues that limit their potential to withstand </w:t>
      </w:r>
      <w:r w:rsidR="00813C1B">
        <w:rPr>
          <w:rFonts w:eastAsiaTheme="minorHAnsi"/>
          <w:szCs w:val="24"/>
        </w:rPr>
        <w:t xml:space="preserve">an </w:t>
      </w:r>
      <w:r w:rsidR="0005044D">
        <w:rPr>
          <w:rFonts w:eastAsiaTheme="minorHAnsi"/>
          <w:szCs w:val="24"/>
        </w:rPr>
        <w:t>otherwise non-</w:t>
      </w:r>
      <w:r w:rsidR="00813C1B">
        <w:rPr>
          <w:rFonts w:eastAsiaTheme="minorHAnsi"/>
          <w:szCs w:val="24"/>
        </w:rPr>
        <w:t>injurious force</w:t>
      </w:r>
      <w:r w:rsidR="0005044D">
        <w:rPr>
          <w:rFonts w:eastAsiaTheme="minorHAnsi"/>
          <w:szCs w:val="24"/>
        </w:rPr>
        <w:t>.</w:t>
      </w:r>
      <w:r w:rsidR="00813C1B">
        <w:rPr>
          <w:rFonts w:eastAsiaTheme="minorHAnsi"/>
          <w:szCs w:val="24"/>
        </w:rPr>
        <w:t xml:space="preserve"> With this study, we can now make an argument that even in </w:t>
      </w:r>
      <w:r w:rsidR="00813C1B">
        <w:rPr>
          <w:rFonts w:eastAsiaTheme="minorHAnsi"/>
          <w:szCs w:val="24"/>
        </w:rPr>
        <w:lastRenderedPageBreak/>
        <w:t>the medically undiagnosed population</w:t>
      </w:r>
      <w:r w:rsidR="00B9346A">
        <w:rPr>
          <w:rFonts w:eastAsiaTheme="minorHAnsi"/>
          <w:szCs w:val="24"/>
        </w:rPr>
        <w:t>,</w:t>
      </w:r>
      <w:r w:rsidR="00813C1B">
        <w:rPr>
          <w:rFonts w:eastAsiaTheme="minorHAnsi"/>
          <w:szCs w:val="24"/>
        </w:rPr>
        <w:t xml:space="preserve"> there is a 36.8% chance they have some form of arthritis and </w:t>
      </w:r>
      <w:r w:rsidR="00B9346A">
        <w:rPr>
          <w:rFonts w:eastAsiaTheme="minorHAnsi"/>
          <w:szCs w:val="24"/>
        </w:rPr>
        <w:t xml:space="preserve">therefore </w:t>
      </w:r>
      <w:r w:rsidR="00813C1B">
        <w:rPr>
          <w:rFonts w:eastAsiaTheme="minorHAnsi"/>
          <w:szCs w:val="24"/>
        </w:rPr>
        <w:t>a greater potential for injury. From my perspective, that’s a good thing</w:t>
      </w:r>
      <w:r w:rsidR="00B9346A">
        <w:rPr>
          <w:rFonts w:eastAsiaTheme="minorHAnsi"/>
          <w:szCs w:val="24"/>
        </w:rPr>
        <w:t xml:space="preserve"> when it comes to explaining the magnitude of pain and suffering your clients’ may have as residuals</w:t>
      </w:r>
      <w:r w:rsidR="00813C1B">
        <w:rPr>
          <w:rFonts w:eastAsiaTheme="minorHAnsi"/>
          <w:szCs w:val="24"/>
        </w:rPr>
        <w:t>.</w:t>
      </w:r>
    </w:p>
    <w:p w:rsidR="00813C1B" w:rsidRDefault="00813C1B" w:rsidP="00861676">
      <w:pPr>
        <w:spacing w:after="200" w:line="276" w:lineRule="auto"/>
        <w:ind w:left="-360" w:right="-270"/>
        <w:rPr>
          <w:rFonts w:eastAsiaTheme="minorHAnsi"/>
          <w:szCs w:val="24"/>
        </w:rPr>
      </w:pPr>
      <w:r>
        <w:rPr>
          <w:rFonts w:eastAsiaTheme="minorHAnsi"/>
          <w:szCs w:val="24"/>
        </w:rPr>
        <w:t xml:space="preserve">We know </w:t>
      </w:r>
      <w:r w:rsidR="00B9346A">
        <w:rPr>
          <w:rFonts w:eastAsiaTheme="minorHAnsi"/>
          <w:szCs w:val="24"/>
        </w:rPr>
        <w:t xml:space="preserve">that </w:t>
      </w:r>
      <w:r>
        <w:rPr>
          <w:rFonts w:eastAsiaTheme="minorHAnsi"/>
          <w:szCs w:val="24"/>
        </w:rPr>
        <w:t>in motor vehicle collision</w:t>
      </w:r>
      <w:r w:rsidR="00A174FB">
        <w:rPr>
          <w:rFonts w:eastAsiaTheme="minorHAnsi"/>
          <w:szCs w:val="24"/>
        </w:rPr>
        <w:t>s</w:t>
      </w:r>
      <w:r>
        <w:rPr>
          <w:rFonts w:eastAsiaTheme="minorHAnsi"/>
          <w:szCs w:val="24"/>
        </w:rPr>
        <w:t xml:space="preserve"> injuries</w:t>
      </w:r>
      <w:r w:rsidR="00774826">
        <w:rPr>
          <w:rFonts w:eastAsiaTheme="minorHAnsi"/>
          <w:szCs w:val="24"/>
        </w:rPr>
        <w:t>,</w:t>
      </w:r>
      <w:r>
        <w:rPr>
          <w:rFonts w:eastAsiaTheme="minorHAnsi"/>
          <w:szCs w:val="24"/>
        </w:rPr>
        <w:t xml:space="preserve"> there are both occupant factors and non-occupant factors that contribute to injury potential. One of the most significant occupant factors is the patients’ health. In the case of arthritis, and depending on the type, we know that this population has restricted ranges of motion, ligamentou</w:t>
      </w:r>
      <w:r w:rsidR="00004F1A">
        <w:rPr>
          <w:rFonts w:eastAsiaTheme="minorHAnsi"/>
          <w:szCs w:val="24"/>
        </w:rPr>
        <w:t xml:space="preserve">s laxity or instability, loss of cartilage, erosion and destruction of bone, increased pro-inflammatory chemical mediators, and much more. All of these factors lead to the probability of greater injury potential such that an otherwise low impact, non-injury producing collision could cause significant injury. </w:t>
      </w:r>
    </w:p>
    <w:p w:rsidR="00B9346A" w:rsidRDefault="00B9346A" w:rsidP="00861676">
      <w:pPr>
        <w:spacing w:after="200" w:line="276" w:lineRule="auto"/>
        <w:ind w:left="-360" w:right="-270"/>
        <w:rPr>
          <w:rFonts w:eastAsiaTheme="minorHAnsi"/>
          <w:szCs w:val="24"/>
        </w:rPr>
      </w:pPr>
      <w:r>
        <w:rPr>
          <w:rFonts w:eastAsiaTheme="minorHAnsi"/>
          <w:szCs w:val="24"/>
        </w:rPr>
        <w:t>Now when your client is involved in a low property damage collision or an injury mechanism which is considered to b</w:t>
      </w:r>
      <w:r w:rsidR="00205220">
        <w:rPr>
          <w:rFonts w:eastAsiaTheme="minorHAnsi"/>
          <w:szCs w:val="24"/>
        </w:rPr>
        <w:t>e minor</w:t>
      </w:r>
      <w:r w:rsidR="00774826">
        <w:rPr>
          <w:rFonts w:eastAsiaTheme="minorHAnsi"/>
          <w:szCs w:val="24"/>
        </w:rPr>
        <w:t>,</w:t>
      </w:r>
      <w:r w:rsidR="00205220">
        <w:rPr>
          <w:rFonts w:eastAsiaTheme="minorHAnsi"/>
          <w:szCs w:val="24"/>
        </w:rPr>
        <w:t xml:space="preserve"> you can make the argument that your client </w:t>
      </w:r>
      <w:r w:rsidR="00E23716">
        <w:rPr>
          <w:rFonts w:eastAsiaTheme="minorHAnsi"/>
          <w:szCs w:val="24"/>
        </w:rPr>
        <w:t xml:space="preserve">likely </w:t>
      </w:r>
      <w:r w:rsidR="00205220">
        <w:rPr>
          <w:rFonts w:eastAsiaTheme="minorHAnsi"/>
          <w:szCs w:val="24"/>
        </w:rPr>
        <w:t xml:space="preserve">falls into the 36.8% of the population with a condition that makes them more vulnerable to injury and less likely to </w:t>
      </w:r>
      <w:r w:rsidR="00E23716">
        <w:rPr>
          <w:rFonts w:eastAsiaTheme="minorHAnsi"/>
          <w:szCs w:val="24"/>
        </w:rPr>
        <w:t xml:space="preserve">completely </w:t>
      </w:r>
      <w:r w:rsidR="00205220">
        <w:rPr>
          <w:rFonts w:eastAsiaTheme="minorHAnsi"/>
          <w:szCs w:val="24"/>
        </w:rPr>
        <w:t>heal. In an ideal world your client may not have been injured but the arthritis related eggshell client (perhaps not medically diagnosed)</w:t>
      </w:r>
      <w:r w:rsidR="00774826">
        <w:rPr>
          <w:rFonts w:eastAsiaTheme="minorHAnsi"/>
          <w:szCs w:val="24"/>
        </w:rPr>
        <w:t>,</w:t>
      </w:r>
      <w:r w:rsidR="00205220">
        <w:rPr>
          <w:rFonts w:eastAsiaTheme="minorHAnsi"/>
          <w:szCs w:val="24"/>
        </w:rPr>
        <w:t xml:space="preserve"> has a lower threshold to injury than the perfect physical specimen. </w:t>
      </w:r>
    </w:p>
    <w:p w:rsidR="00205220" w:rsidRDefault="00E23716" w:rsidP="00861676">
      <w:pPr>
        <w:spacing w:after="200" w:line="276" w:lineRule="auto"/>
        <w:ind w:left="-360" w:right="-270"/>
        <w:rPr>
          <w:rFonts w:eastAsiaTheme="minorHAnsi"/>
          <w:szCs w:val="24"/>
        </w:rPr>
      </w:pPr>
      <w:r>
        <w:rPr>
          <w:rFonts w:eastAsiaTheme="minorHAnsi"/>
          <w:szCs w:val="24"/>
        </w:rPr>
        <w:t xml:space="preserve">I think approaching this offensively rather than defensively is a strategy that may have some merit. </w:t>
      </w:r>
      <w:r w:rsidR="00B50C55">
        <w:rPr>
          <w:rFonts w:eastAsiaTheme="minorHAnsi"/>
          <w:szCs w:val="24"/>
        </w:rPr>
        <w:t xml:space="preserve">Identifying up front that your client has a condition that 36.8% of the US population has, which is why they are so significantly injured, puts you in a better </w:t>
      </w:r>
      <w:r w:rsidR="00A174FB">
        <w:rPr>
          <w:rFonts w:eastAsiaTheme="minorHAnsi"/>
          <w:szCs w:val="24"/>
        </w:rPr>
        <w:t>position</w:t>
      </w:r>
      <w:r w:rsidR="00B50C55">
        <w:rPr>
          <w:rFonts w:eastAsiaTheme="minorHAnsi"/>
          <w:szCs w:val="24"/>
        </w:rPr>
        <w:t xml:space="preserve"> to argue future medicals and impairment (if it exists). </w:t>
      </w:r>
      <w:r>
        <w:rPr>
          <w:rFonts w:eastAsiaTheme="minorHAnsi"/>
          <w:szCs w:val="24"/>
        </w:rPr>
        <w:t>This approach reminds me of the scene in the movie</w:t>
      </w:r>
      <w:r w:rsidR="00B50C55">
        <w:rPr>
          <w:rFonts w:eastAsiaTheme="minorHAnsi"/>
          <w:szCs w:val="24"/>
        </w:rPr>
        <w:t xml:space="preserve"> </w:t>
      </w:r>
      <w:r w:rsidR="00774826">
        <w:rPr>
          <w:rFonts w:eastAsiaTheme="minorHAnsi"/>
          <w:szCs w:val="24"/>
        </w:rPr>
        <w:t>“</w:t>
      </w:r>
      <w:r w:rsidR="00B50C55">
        <w:rPr>
          <w:rFonts w:eastAsiaTheme="minorHAnsi"/>
          <w:szCs w:val="24"/>
        </w:rPr>
        <w:t xml:space="preserve">Erin </w:t>
      </w:r>
      <w:proofErr w:type="spellStart"/>
      <w:r w:rsidR="00B50C55">
        <w:rPr>
          <w:rFonts w:eastAsiaTheme="minorHAnsi"/>
          <w:szCs w:val="24"/>
        </w:rPr>
        <w:t>Brockovich</w:t>
      </w:r>
      <w:proofErr w:type="spellEnd"/>
      <w:r w:rsidR="00774826">
        <w:rPr>
          <w:rFonts w:eastAsiaTheme="minorHAnsi"/>
          <w:szCs w:val="24"/>
        </w:rPr>
        <w:t>”</w:t>
      </w:r>
      <w:r>
        <w:rPr>
          <w:rFonts w:eastAsiaTheme="minorHAnsi"/>
          <w:szCs w:val="24"/>
        </w:rPr>
        <w:t xml:space="preserve"> when Albert Finney is meeting with </w:t>
      </w:r>
      <w:r w:rsidR="00B50C55">
        <w:rPr>
          <w:rFonts w:eastAsiaTheme="minorHAnsi"/>
          <w:szCs w:val="24"/>
        </w:rPr>
        <w:t>the PG&amp;E junior lawyer and is told that PG&amp;E is a big company worth billions of dollars in an effort to intimidate him. Albert Finney’s response is classic when he turns that around by saying</w:t>
      </w:r>
      <w:r w:rsidR="00774826">
        <w:rPr>
          <w:rFonts w:eastAsiaTheme="minorHAnsi"/>
          <w:szCs w:val="24"/>
        </w:rPr>
        <w:t>,</w:t>
      </w:r>
      <w:r w:rsidR="00B50C55">
        <w:rPr>
          <w:rFonts w:eastAsiaTheme="minorHAnsi"/>
          <w:szCs w:val="24"/>
        </w:rPr>
        <w:t xml:space="preserve"> “Billions of Dollars? I had no idea. That’s great!” (I’m paraphrasing). </w:t>
      </w:r>
    </w:p>
    <w:p w:rsidR="003138E1" w:rsidRPr="003138E1" w:rsidRDefault="00B50C55" w:rsidP="00A174FB">
      <w:pPr>
        <w:spacing w:after="200" w:line="276" w:lineRule="auto"/>
        <w:ind w:left="-360" w:right="-270"/>
        <w:rPr>
          <w:rFonts w:ascii="Helvetica" w:hAnsi="Helvetica" w:cs="Helvetica"/>
          <w:color w:val="555555"/>
          <w:szCs w:val="24"/>
        </w:rPr>
      </w:pPr>
      <w:r>
        <w:rPr>
          <w:rFonts w:eastAsiaTheme="minorHAnsi"/>
          <w:szCs w:val="24"/>
        </w:rPr>
        <w:t>Obviously, I’m only a doctor and never had to negotiate a settlement with a claims adjuster or make a legal argument to a jury</w:t>
      </w:r>
      <w:r w:rsidR="00A174FB">
        <w:rPr>
          <w:rFonts w:eastAsiaTheme="minorHAnsi"/>
          <w:szCs w:val="24"/>
        </w:rPr>
        <w:t>. S</w:t>
      </w:r>
      <w:r>
        <w:rPr>
          <w:rFonts w:eastAsiaTheme="minorHAnsi"/>
          <w:szCs w:val="24"/>
        </w:rPr>
        <w:t xml:space="preserve">o I acknowledge that I am commenting beyond my level of expertise. However, as a physician, I believe my providers and I could make a </w:t>
      </w:r>
      <w:r w:rsidR="00A174FB">
        <w:rPr>
          <w:rFonts w:eastAsiaTheme="minorHAnsi"/>
          <w:szCs w:val="24"/>
        </w:rPr>
        <w:t>compelling argument in support o</w:t>
      </w:r>
      <w:r>
        <w:rPr>
          <w:rFonts w:eastAsiaTheme="minorHAnsi"/>
          <w:szCs w:val="24"/>
        </w:rPr>
        <w:t xml:space="preserve">f greater injury potential and greater chance of residuals simply because </w:t>
      </w:r>
      <w:r w:rsidR="00A174FB">
        <w:rPr>
          <w:rFonts w:eastAsiaTheme="minorHAnsi"/>
          <w:szCs w:val="24"/>
        </w:rPr>
        <w:t>our</w:t>
      </w:r>
      <w:r>
        <w:rPr>
          <w:rFonts w:eastAsiaTheme="minorHAnsi"/>
          <w:szCs w:val="24"/>
        </w:rPr>
        <w:t xml:space="preserve"> patient has a premorbid condition which confounds the otherwise routine injury potential and recovery expectation.  </w:t>
      </w:r>
    </w:p>
    <w:p w:rsidR="001E7044" w:rsidRPr="003138E1" w:rsidRDefault="001E7044" w:rsidP="00A370BC">
      <w:pPr>
        <w:spacing w:after="200" w:line="276" w:lineRule="auto"/>
        <w:ind w:left="-360" w:right="-270"/>
        <w:rPr>
          <w:rFonts w:eastAsiaTheme="minorHAnsi"/>
          <w:szCs w:val="24"/>
        </w:rPr>
      </w:pPr>
    </w:p>
    <w:sectPr w:rsidR="001E7044" w:rsidRPr="003138E1" w:rsidSect="00AF7111">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0B0" w:rsidRDefault="001A30B0" w:rsidP="000D2081">
      <w:r>
        <w:separator/>
      </w:r>
    </w:p>
  </w:endnote>
  <w:endnote w:type="continuationSeparator" w:id="0">
    <w:p w:rsidR="001A30B0" w:rsidRDefault="001A30B0"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B0" w:rsidRDefault="001A30B0"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21E95A01" wp14:editId="102E8C4B">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1A30B0" w:rsidRPr="00AC28FF" w:rsidRDefault="001A30B0"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r>
      <w:rPr>
        <w:color w:val="595959" w:themeColor="text1" w:themeTint="A6"/>
        <w:sz w:val="36"/>
        <w:szCs w:val="36"/>
      </w:rPr>
      <w:t xml:space="preserve"> </w:t>
    </w:r>
    <w:r w:rsidRPr="00AC28FF">
      <w:rPr>
        <w:color w:val="595959" w:themeColor="text1" w:themeTint="A6"/>
        <w:sz w:val="36"/>
        <w:szCs w:val="36"/>
      </w:rPr>
      <w:t>●</w:t>
    </w:r>
    <w:r>
      <w:rPr>
        <w:color w:val="595959" w:themeColor="text1" w:themeTint="A6"/>
        <w:sz w:val="36"/>
        <w:szCs w:val="36"/>
      </w:rPr>
      <w:t xml:space="preserve"> Middletown </w:t>
    </w:r>
    <w:r w:rsidRPr="00AC28FF">
      <w:rPr>
        <w:color w:val="595959" w:themeColor="text1" w:themeTint="A6"/>
        <w:sz w:val="36"/>
        <w:szCs w:val="36"/>
      </w:rPr>
      <w:t>●</w:t>
    </w:r>
    <w:r>
      <w:rPr>
        <w:color w:val="595959" w:themeColor="text1" w:themeTint="A6"/>
        <w:sz w:val="36"/>
        <w:szCs w:val="36"/>
      </w:rPr>
      <w:t>Bloomfield</w:t>
    </w:r>
  </w:p>
  <w:p w:rsidR="001A30B0" w:rsidRPr="00AC28FF" w:rsidRDefault="001A30B0"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1A30B0" w:rsidRPr="00AC28FF" w:rsidRDefault="001A30B0"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0B0" w:rsidRDefault="001A30B0" w:rsidP="000D2081">
      <w:r>
        <w:separator/>
      </w:r>
    </w:p>
  </w:footnote>
  <w:footnote w:type="continuationSeparator" w:id="0">
    <w:p w:rsidR="001A30B0" w:rsidRDefault="001A30B0"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30B0" w:rsidRDefault="001A30B0"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1C542FE" wp14:editId="57A7BBF3">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30B0" w:rsidRDefault="001A30B0" w:rsidP="000D2081">
    <w:pPr>
      <w:ind w:left="-810" w:right="-990"/>
      <w:jc w:val="center"/>
      <w:rPr>
        <w:b/>
        <w:color w:val="FF0000"/>
        <w:sz w:val="18"/>
        <w:szCs w:val="18"/>
      </w:rPr>
    </w:pPr>
  </w:p>
  <w:p w:rsidR="001A30B0" w:rsidRDefault="001A30B0" w:rsidP="000D2081">
    <w:pPr>
      <w:ind w:left="-810" w:right="-990"/>
      <w:jc w:val="center"/>
      <w:rPr>
        <w:b/>
        <w:color w:val="FF0000"/>
        <w:sz w:val="18"/>
        <w:szCs w:val="18"/>
      </w:rPr>
    </w:pPr>
  </w:p>
  <w:p w:rsidR="001A30B0" w:rsidRDefault="001A30B0" w:rsidP="000D2081">
    <w:pPr>
      <w:ind w:left="-810" w:right="-990"/>
      <w:jc w:val="center"/>
      <w:rPr>
        <w:b/>
        <w:color w:val="FF0000"/>
        <w:sz w:val="18"/>
        <w:szCs w:val="18"/>
      </w:rPr>
    </w:pPr>
  </w:p>
  <w:p w:rsidR="001A30B0" w:rsidRDefault="001A30B0" w:rsidP="00AF7111">
    <w:pPr>
      <w:tabs>
        <w:tab w:val="left" w:pos="1170"/>
      </w:tabs>
      <w:ind w:left="-810" w:right="-990"/>
      <w:rPr>
        <w:b/>
        <w:color w:val="FF0000"/>
        <w:sz w:val="18"/>
        <w:szCs w:val="18"/>
      </w:rPr>
    </w:pPr>
    <w:r>
      <w:rPr>
        <w:b/>
        <w:color w:val="FF0000"/>
        <w:sz w:val="18"/>
        <w:szCs w:val="18"/>
      </w:rPr>
      <w:tab/>
    </w:r>
  </w:p>
  <w:p w:rsidR="001A30B0" w:rsidRDefault="001A30B0" w:rsidP="00AF7111">
    <w:pPr>
      <w:tabs>
        <w:tab w:val="left" w:pos="1170"/>
      </w:tabs>
      <w:ind w:left="-810" w:right="-990"/>
      <w:rPr>
        <w:b/>
        <w:color w:val="FF0000"/>
        <w:sz w:val="18"/>
        <w:szCs w:val="18"/>
      </w:rPr>
    </w:pPr>
  </w:p>
  <w:p w:rsidR="001A30B0" w:rsidRDefault="001A30B0" w:rsidP="000D2081">
    <w:pPr>
      <w:ind w:left="-810" w:right="-990"/>
      <w:jc w:val="center"/>
      <w:rPr>
        <w:b/>
        <w:color w:val="FF0000"/>
        <w:sz w:val="18"/>
        <w:szCs w:val="18"/>
      </w:rPr>
    </w:pPr>
  </w:p>
  <w:p w:rsidR="001A30B0" w:rsidRDefault="001A30B0"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58E24386" wp14:editId="7B455B3F">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1A30B0" w:rsidRPr="003A3862" w:rsidRDefault="001A30B0"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1A30B0" w:rsidRDefault="001A30B0"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2ECA6B7C" wp14:editId="268A4798">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95E03"/>
    <w:multiLevelType w:val="multilevel"/>
    <w:tmpl w:val="C4988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96458"/>
    <w:multiLevelType w:val="hybridMultilevel"/>
    <w:tmpl w:val="892E2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980975"/>
    <w:multiLevelType w:val="hybridMultilevel"/>
    <w:tmpl w:val="EFBED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90C6EB8"/>
    <w:multiLevelType w:val="hybridMultilevel"/>
    <w:tmpl w:val="2FCADFA4"/>
    <w:lvl w:ilvl="0" w:tplc="71962718">
      <w:numFmt w:val="bullet"/>
      <w:lvlText w:val="-"/>
      <w:lvlJc w:val="left"/>
      <w:pPr>
        <w:ind w:left="-360" w:hanging="360"/>
      </w:pPr>
      <w:rPr>
        <w:rFonts w:ascii="Times New Roman" w:eastAsiaTheme="minorHAnsi" w:hAnsi="Times New Roman" w:cs="Times New Roman"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355F3261"/>
    <w:multiLevelType w:val="hybridMultilevel"/>
    <w:tmpl w:val="54F00B38"/>
    <w:lvl w:ilvl="0" w:tplc="B694C62E">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435A2355"/>
    <w:multiLevelType w:val="multilevel"/>
    <w:tmpl w:val="36921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380410F"/>
    <w:multiLevelType w:val="hybridMultilevel"/>
    <w:tmpl w:val="36607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CA597D"/>
    <w:multiLevelType w:val="hybridMultilevel"/>
    <w:tmpl w:val="B96E4C88"/>
    <w:lvl w:ilvl="0" w:tplc="CF7EAC84">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9">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abstractNum w:abstractNumId="10">
    <w:nsid w:val="53FC408E"/>
    <w:multiLevelType w:val="multilevel"/>
    <w:tmpl w:val="ABCC2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787EFB"/>
    <w:multiLevelType w:val="hybridMultilevel"/>
    <w:tmpl w:val="7AE05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EEA5C12"/>
    <w:multiLevelType w:val="hybridMultilevel"/>
    <w:tmpl w:val="394C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A167DAA"/>
    <w:multiLevelType w:val="hybridMultilevel"/>
    <w:tmpl w:val="FB080C86"/>
    <w:lvl w:ilvl="0" w:tplc="5764E940">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4">
    <w:nsid w:val="7F826C2B"/>
    <w:multiLevelType w:val="hybridMultilevel"/>
    <w:tmpl w:val="9AB6B426"/>
    <w:lvl w:ilvl="0" w:tplc="3B360316">
      <w:numFmt w:val="bullet"/>
      <w:lvlText w:val="-"/>
      <w:lvlJc w:val="left"/>
      <w:pPr>
        <w:ind w:left="-360" w:hanging="360"/>
      </w:pPr>
      <w:rPr>
        <w:rFonts w:ascii="Cambria" w:eastAsiaTheme="majorEastAsia" w:hAnsi="Cambria" w:cstheme="majorBidi" w:hint="default"/>
        <w:b/>
        <w:color w:val="365F91" w:themeColor="accent1" w:themeShade="BF"/>
        <w:sz w:val="28"/>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abstractNumId w:val="9"/>
  </w:num>
  <w:num w:numId="2">
    <w:abstractNumId w:val="4"/>
  </w:num>
  <w:num w:numId="3">
    <w:abstractNumId w:val="2"/>
  </w:num>
  <w:num w:numId="4">
    <w:abstractNumId w:val="12"/>
  </w:num>
  <w:num w:numId="5">
    <w:abstractNumId w:val="7"/>
  </w:num>
  <w:num w:numId="6">
    <w:abstractNumId w:val="11"/>
  </w:num>
  <w:num w:numId="7">
    <w:abstractNumId w:val="1"/>
  </w:num>
  <w:num w:numId="8">
    <w:abstractNumId w:val="5"/>
  </w:num>
  <w:num w:numId="9">
    <w:abstractNumId w:val="13"/>
  </w:num>
  <w:num w:numId="10">
    <w:abstractNumId w:val="14"/>
  </w:num>
  <w:num w:numId="11">
    <w:abstractNumId w:val="8"/>
  </w:num>
  <w:num w:numId="12">
    <w:abstractNumId w:val="3"/>
  </w:num>
  <w:num w:numId="13">
    <w:abstractNumId w:val="0"/>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mailMerge>
    <w:mainDocumentType w:val="formLetters"/>
    <w:dataType w:val="textFile"/>
    <w:activeRecord w:val="-1"/>
  </w:mailMerge>
  <w:trackRevisions/>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36F4A077-4F3B-4D4A-9455-021F7C52D752}"/>
    <w:docVar w:name="dgnword-eventsink" w:val="121453264"/>
  </w:docVars>
  <w:rsids>
    <w:rsidRoot w:val="0047636C"/>
    <w:rsid w:val="00004F1A"/>
    <w:rsid w:val="00010CE1"/>
    <w:rsid w:val="0001602A"/>
    <w:rsid w:val="0002476D"/>
    <w:rsid w:val="00027087"/>
    <w:rsid w:val="00031BFD"/>
    <w:rsid w:val="000324D5"/>
    <w:rsid w:val="00033AE2"/>
    <w:rsid w:val="0004360C"/>
    <w:rsid w:val="0005044D"/>
    <w:rsid w:val="00060EF8"/>
    <w:rsid w:val="0007758F"/>
    <w:rsid w:val="000821EC"/>
    <w:rsid w:val="000843DE"/>
    <w:rsid w:val="000A2641"/>
    <w:rsid w:val="000A4C94"/>
    <w:rsid w:val="000A6D89"/>
    <w:rsid w:val="000B2575"/>
    <w:rsid w:val="000B7489"/>
    <w:rsid w:val="000C76E8"/>
    <w:rsid w:val="000D0BB1"/>
    <w:rsid w:val="000D2081"/>
    <w:rsid w:val="000D6617"/>
    <w:rsid w:val="00115B80"/>
    <w:rsid w:val="00120558"/>
    <w:rsid w:val="00124B05"/>
    <w:rsid w:val="00127C3F"/>
    <w:rsid w:val="00135ACB"/>
    <w:rsid w:val="00143877"/>
    <w:rsid w:val="00147B16"/>
    <w:rsid w:val="00160195"/>
    <w:rsid w:val="001617B4"/>
    <w:rsid w:val="00162390"/>
    <w:rsid w:val="001708BE"/>
    <w:rsid w:val="00172683"/>
    <w:rsid w:val="00174267"/>
    <w:rsid w:val="00174648"/>
    <w:rsid w:val="001752CA"/>
    <w:rsid w:val="00180BC1"/>
    <w:rsid w:val="001900A6"/>
    <w:rsid w:val="001A0268"/>
    <w:rsid w:val="001A1D5D"/>
    <w:rsid w:val="001A30B0"/>
    <w:rsid w:val="001B2696"/>
    <w:rsid w:val="001B7580"/>
    <w:rsid w:val="001C499F"/>
    <w:rsid w:val="001D55A5"/>
    <w:rsid w:val="001D6E23"/>
    <w:rsid w:val="001E7044"/>
    <w:rsid w:val="002030D6"/>
    <w:rsid w:val="00204E1E"/>
    <w:rsid w:val="00205220"/>
    <w:rsid w:val="00220A43"/>
    <w:rsid w:val="0023207E"/>
    <w:rsid w:val="00235FC8"/>
    <w:rsid w:val="0024470B"/>
    <w:rsid w:val="00260C5C"/>
    <w:rsid w:val="0027555D"/>
    <w:rsid w:val="00291A05"/>
    <w:rsid w:val="00292FAF"/>
    <w:rsid w:val="002A07E5"/>
    <w:rsid w:val="002A2D1E"/>
    <w:rsid w:val="002B4260"/>
    <w:rsid w:val="002D2E50"/>
    <w:rsid w:val="002D4E8A"/>
    <w:rsid w:val="002D56A9"/>
    <w:rsid w:val="002E6C0A"/>
    <w:rsid w:val="00312649"/>
    <w:rsid w:val="003138E1"/>
    <w:rsid w:val="00315D5D"/>
    <w:rsid w:val="00316B54"/>
    <w:rsid w:val="00321003"/>
    <w:rsid w:val="003309A7"/>
    <w:rsid w:val="00332BA1"/>
    <w:rsid w:val="003349DB"/>
    <w:rsid w:val="00335212"/>
    <w:rsid w:val="00340101"/>
    <w:rsid w:val="00350BFF"/>
    <w:rsid w:val="003540F9"/>
    <w:rsid w:val="003573CF"/>
    <w:rsid w:val="0036352A"/>
    <w:rsid w:val="003702C8"/>
    <w:rsid w:val="00371043"/>
    <w:rsid w:val="0037710B"/>
    <w:rsid w:val="003820D9"/>
    <w:rsid w:val="003921F6"/>
    <w:rsid w:val="0039255D"/>
    <w:rsid w:val="00396EBD"/>
    <w:rsid w:val="003A0F6B"/>
    <w:rsid w:val="003B73AB"/>
    <w:rsid w:val="003C134B"/>
    <w:rsid w:val="003E7121"/>
    <w:rsid w:val="003F7537"/>
    <w:rsid w:val="00402C71"/>
    <w:rsid w:val="00415A27"/>
    <w:rsid w:val="00415B7A"/>
    <w:rsid w:val="00426820"/>
    <w:rsid w:val="004423E9"/>
    <w:rsid w:val="004505DC"/>
    <w:rsid w:val="004632E5"/>
    <w:rsid w:val="00464443"/>
    <w:rsid w:val="0046539B"/>
    <w:rsid w:val="0047636C"/>
    <w:rsid w:val="0048217F"/>
    <w:rsid w:val="0048567E"/>
    <w:rsid w:val="00492B9B"/>
    <w:rsid w:val="004A3747"/>
    <w:rsid w:val="004D1C2D"/>
    <w:rsid w:val="004D47FF"/>
    <w:rsid w:val="004E0A00"/>
    <w:rsid w:val="004E78CD"/>
    <w:rsid w:val="004F24D4"/>
    <w:rsid w:val="004F31C8"/>
    <w:rsid w:val="004F77F4"/>
    <w:rsid w:val="00507DA1"/>
    <w:rsid w:val="00513D73"/>
    <w:rsid w:val="0052471A"/>
    <w:rsid w:val="00530B01"/>
    <w:rsid w:val="00533F92"/>
    <w:rsid w:val="00537265"/>
    <w:rsid w:val="00545813"/>
    <w:rsid w:val="005549E8"/>
    <w:rsid w:val="00566AF6"/>
    <w:rsid w:val="00567B8A"/>
    <w:rsid w:val="00586F9E"/>
    <w:rsid w:val="00587D34"/>
    <w:rsid w:val="00592D7B"/>
    <w:rsid w:val="005B6426"/>
    <w:rsid w:val="005C2E30"/>
    <w:rsid w:val="005D4816"/>
    <w:rsid w:val="005D5F01"/>
    <w:rsid w:val="005E1B61"/>
    <w:rsid w:val="005E2F34"/>
    <w:rsid w:val="005F7C44"/>
    <w:rsid w:val="00602BB9"/>
    <w:rsid w:val="00612179"/>
    <w:rsid w:val="00615094"/>
    <w:rsid w:val="00620587"/>
    <w:rsid w:val="00624A66"/>
    <w:rsid w:val="00642E78"/>
    <w:rsid w:val="00654395"/>
    <w:rsid w:val="00654515"/>
    <w:rsid w:val="00655317"/>
    <w:rsid w:val="00666F47"/>
    <w:rsid w:val="006760B5"/>
    <w:rsid w:val="00681408"/>
    <w:rsid w:val="0068280A"/>
    <w:rsid w:val="006A0A25"/>
    <w:rsid w:val="006A2B2D"/>
    <w:rsid w:val="006A309E"/>
    <w:rsid w:val="006B2217"/>
    <w:rsid w:val="006B65A2"/>
    <w:rsid w:val="006B7321"/>
    <w:rsid w:val="006C4A59"/>
    <w:rsid w:val="006E2001"/>
    <w:rsid w:val="006E2FF6"/>
    <w:rsid w:val="006F2375"/>
    <w:rsid w:val="006F5B8F"/>
    <w:rsid w:val="006F6239"/>
    <w:rsid w:val="00701EFF"/>
    <w:rsid w:val="00720C09"/>
    <w:rsid w:val="00725C86"/>
    <w:rsid w:val="00735C3B"/>
    <w:rsid w:val="007407A5"/>
    <w:rsid w:val="00743ED4"/>
    <w:rsid w:val="00774826"/>
    <w:rsid w:val="00780E8F"/>
    <w:rsid w:val="00783304"/>
    <w:rsid w:val="0079475C"/>
    <w:rsid w:val="00794918"/>
    <w:rsid w:val="007A60D0"/>
    <w:rsid w:val="007B2D4F"/>
    <w:rsid w:val="007E050F"/>
    <w:rsid w:val="007E78AD"/>
    <w:rsid w:val="007F4EF5"/>
    <w:rsid w:val="007F5498"/>
    <w:rsid w:val="007F5590"/>
    <w:rsid w:val="00801BEE"/>
    <w:rsid w:val="00813C1B"/>
    <w:rsid w:val="00830051"/>
    <w:rsid w:val="00831800"/>
    <w:rsid w:val="008356A3"/>
    <w:rsid w:val="008378B5"/>
    <w:rsid w:val="0084154D"/>
    <w:rsid w:val="008445AA"/>
    <w:rsid w:val="00847C06"/>
    <w:rsid w:val="0085492D"/>
    <w:rsid w:val="0086045B"/>
    <w:rsid w:val="00861676"/>
    <w:rsid w:val="00870564"/>
    <w:rsid w:val="00873547"/>
    <w:rsid w:val="008767E1"/>
    <w:rsid w:val="00882964"/>
    <w:rsid w:val="0088566D"/>
    <w:rsid w:val="00885CFC"/>
    <w:rsid w:val="00890E0A"/>
    <w:rsid w:val="00896D67"/>
    <w:rsid w:val="00897F7F"/>
    <w:rsid w:val="008A03DD"/>
    <w:rsid w:val="008A14A4"/>
    <w:rsid w:val="008B4146"/>
    <w:rsid w:val="008C7054"/>
    <w:rsid w:val="008D126A"/>
    <w:rsid w:val="008D35CF"/>
    <w:rsid w:val="008E16A7"/>
    <w:rsid w:val="008E7B86"/>
    <w:rsid w:val="008F10F9"/>
    <w:rsid w:val="008F73A7"/>
    <w:rsid w:val="0090376E"/>
    <w:rsid w:val="00912122"/>
    <w:rsid w:val="00917973"/>
    <w:rsid w:val="0094061B"/>
    <w:rsid w:val="00942C84"/>
    <w:rsid w:val="00943561"/>
    <w:rsid w:val="009543F1"/>
    <w:rsid w:val="00964C9F"/>
    <w:rsid w:val="009669D4"/>
    <w:rsid w:val="009726EE"/>
    <w:rsid w:val="00974D7E"/>
    <w:rsid w:val="009800F0"/>
    <w:rsid w:val="00980109"/>
    <w:rsid w:val="009907B9"/>
    <w:rsid w:val="009932F2"/>
    <w:rsid w:val="00996157"/>
    <w:rsid w:val="009A43C8"/>
    <w:rsid w:val="009B5E32"/>
    <w:rsid w:val="009D2330"/>
    <w:rsid w:val="009D4BB2"/>
    <w:rsid w:val="009D54E0"/>
    <w:rsid w:val="009E087E"/>
    <w:rsid w:val="009E455C"/>
    <w:rsid w:val="009E5516"/>
    <w:rsid w:val="009F024C"/>
    <w:rsid w:val="00A05D69"/>
    <w:rsid w:val="00A10D52"/>
    <w:rsid w:val="00A174FB"/>
    <w:rsid w:val="00A20C0B"/>
    <w:rsid w:val="00A23BAC"/>
    <w:rsid w:val="00A25DD7"/>
    <w:rsid w:val="00A30626"/>
    <w:rsid w:val="00A34FA3"/>
    <w:rsid w:val="00A370BC"/>
    <w:rsid w:val="00A629BE"/>
    <w:rsid w:val="00A630AE"/>
    <w:rsid w:val="00A64E6A"/>
    <w:rsid w:val="00A75B42"/>
    <w:rsid w:val="00A76D3E"/>
    <w:rsid w:val="00A82119"/>
    <w:rsid w:val="00A85A4A"/>
    <w:rsid w:val="00AA6682"/>
    <w:rsid w:val="00AC192B"/>
    <w:rsid w:val="00AC28FF"/>
    <w:rsid w:val="00AC54F4"/>
    <w:rsid w:val="00AD0369"/>
    <w:rsid w:val="00AE29F4"/>
    <w:rsid w:val="00AF0730"/>
    <w:rsid w:val="00AF1A5A"/>
    <w:rsid w:val="00AF33D7"/>
    <w:rsid w:val="00AF60BA"/>
    <w:rsid w:val="00AF7111"/>
    <w:rsid w:val="00B030F3"/>
    <w:rsid w:val="00B10E5A"/>
    <w:rsid w:val="00B2431D"/>
    <w:rsid w:val="00B46792"/>
    <w:rsid w:val="00B50C55"/>
    <w:rsid w:val="00B5310E"/>
    <w:rsid w:val="00B5319F"/>
    <w:rsid w:val="00B542B4"/>
    <w:rsid w:val="00B552AD"/>
    <w:rsid w:val="00B5740F"/>
    <w:rsid w:val="00B60AFD"/>
    <w:rsid w:val="00B61D8E"/>
    <w:rsid w:val="00B661B6"/>
    <w:rsid w:val="00B9346A"/>
    <w:rsid w:val="00B95399"/>
    <w:rsid w:val="00BB7B07"/>
    <w:rsid w:val="00BD7D03"/>
    <w:rsid w:val="00BE0B7C"/>
    <w:rsid w:val="00BF0717"/>
    <w:rsid w:val="00BF3C42"/>
    <w:rsid w:val="00BF4428"/>
    <w:rsid w:val="00C052A7"/>
    <w:rsid w:val="00C13680"/>
    <w:rsid w:val="00C13A19"/>
    <w:rsid w:val="00C16B05"/>
    <w:rsid w:val="00C25F44"/>
    <w:rsid w:val="00C33075"/>
    <w:rsid w:val="00C40150"/>
    <w:rsid w:val="00C43F73"/>
    <w:rsid w:val="00C44D22"/>
    <w:rsid w:val="00C543AD"/>
    <w:rsid w:val="00C563AD"/>
    <w:rsid w:val="00C57799"/>
    <w:rsid w:val="00C60875"/>
    <w:rsid w:val="00C614CA"/>
    <w:rsid w:val="00C6571E"/>
    <w:rsid w:val="00C70B7A"/>
    <w:rsid w:val="00C72648"/>
    <w:rsid w:val="00C8540F"/>
    <w:rsid w:val="00C8554D"/>
    <w:rsid w:val="00C91BD4"/>
    <w:rsid w:val="00CC57BF"/>
    <w:rsid w:val="00CC75B6"/>
    <w:rsid w:val="00CD1A1E"/>
    <w:rsid w:val="00CD2EE9"/>
    <w:rsid w:val="00CE00A6"/>
    <w:rsid w:val="00CE24A7"/>
    <w:rsid w:val="00CE747C"/>
    <w:rsid w:val="00CF28CE"/>
    <w:rsid w:val="00CF5CF7"/>
    <w:rsid w:val="00CF6EBD"/>
    <w:rsid w:val="00D0270B"/>
    <w:rsid w:val="00D0627F"/>
    <w:rsid w:val="00D06A13"/>
    <w:rsid w:val="00D11D26"/>
    <w:rsid w:val="00D12E9F"/>
    <w:rsid w:val="00D1728E"/>
    <w:rsid w:val="00D269D7"/>
    <w:rsid w:val="00D26B8A"/>
    <w:rsid w:val="00D27388"/>
    <w:rsid w:val="00D34E4D"/>
    <w:rsid w:val="00D475D8"/>
    <w:rsid w:val="00D51660"/>
    <w:rsid w:val="00D7009A"/>
    <w:rsid w:val="00D85C83"/>
    <w:rsid w:val="00D96979"/>
    <w:rsid w:val="00DB3967"/>
    <w:rsid w:val="00DC22F8"/>
    <w:rsid w:val="00DC28CF"/>
    <w:rsid w:val="00DC2F70"/>
    <w:rsid w:val="00DD0087"/>
    <w:rsid w:val="00DE6B95"/>
    <w:rsid w:val="00DF4CE4"/>
    <w:rsid w:val="00E03FEC"/>
    <w:rsid w:val="00E23716"/>
    <w:rsid w:val="00E23FA4"/>
    <w:rsid w:val="00E24A87"/>
    <w:rsid w:val="00E27299"/>
    <w:rsid w:val="00E32AC2"/>
    <w:rsid w:val="00E3307A"/>
    <w:rsid w:val="00E3596C"/>
    <w:rsid w:val="00E42C49"/>
    <w:rsid w:val="00E64A74"/>
    <w:rsid w:val="00E64F22"/>
    <w:rsid w:val="00E666AA"/>
    <w:rsid w:val="00E67554"/>
    <w:rsid w:val="00E703C9"/>
    <w:rsid w:val="00E71DA8"/>
    <w:rsid w:val="00E83493"/>
    <w:rsid w:val="00EA6FA9"/>
    <w:rsid w:val="00EB53D8"/>
    <w:rsid w:val="00EC18C0"/>
    <w:rsid w:val="00ED43A8"/>
    <w:rsid w:val="00EE4E85"/>
    <w:rsid w:val="00F116F6"/>
    <w:rsid w:val="00F125FD"/>
    <w:rsid w:val="00F15293"/>
    <w:rsid w:val="00F174BE"/>
    <w:rsid w:val="00F239A5"/>
    <w:rsid w:val="00F27623"/>
    <w:rsid w:val="00F30152"/>
    <w:rsid w:val="00F36AC1"/>
    <w:rsid w:val="00F44884"/>
    <w:rsid w:val="00F608D3"/>
    <w:rsid w:val="00F61C50"/>
    <w:rsid w:val="00F758C6"/>
    <w:rsid w:val="00F83823"/>
    <w:rsid w:val="00F91750"/>
    <w:rsid w:val="00F92CDF"/>
    <w:rsid w:val="00F96BD7"/>
    <w:rsid w:val="00FA4D2D"/>
    <w:rsid w:val="00FC2804"/>
    <w:rsid w:val="00FC50F8"/>
    <w:rsid w:val="00FC5277"/>
    <w:rsid w:val="00FC72D4"/>
    <w:rsid w:val="00FE178F"/>
    <w:rsid w:val="00FF276F"/>
    <w:rsid w:val="00FF6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1D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3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43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customStyle="1" w:styleId="apple-converted-space">
    <w:name w:val="apple-converted-space"/>
    <w:basedOn w:val="DefaultParagraphFont"/>
    <w:rsid w:val="00917973"/>
  </w:style>
  <w:style w:type="character" w:styleId="Hyperlink">
    <w:name w:val="Hyperlink"/>
    <w:basedOn w:val="DefaultParagraphFont"/>
    <w:uiPriority w:val="99"/>
    <w:unhideWhenUsed/>
    <w:rsid w:val="009669D4"/>
    <w:rPr>
      <w:color w:val="0000FF"/>
      <w:u w:val="single"/>
    </w:rPr>
  </w:style>
  <w:style w:type="paragraph" w:styleId="Caption">
    <w:name w:val="caption"/>
    <w:basedOn w:val="Normal"/>
    <w:next w:val="Normal"/>
    <w:uiPriority w:val="35"/>
    <w:unhideWhenUsed/>
    <w:qFormat/>
    <w:rsid w:val="00AE29F4"/>
    <w:pPr>
      <w:spacing w:after="200"/>
    </w:pPr>
    <w:rPr>
      <w:b/>
      <w:bCs/>
      <w:color w:val="4F81BD" w:themeColor="accent1"/>
      <w:sz w:val="18"/>
      <w:szCs w:val="18"/>
    </w:rPr>
  </w:style>
  <w:style w:type="character" w:styleId="Strong">
    <w:name w:val="Strong"/>
    <w:basedOn w:val="DefaultParagraphFont"/>
    <w:uiPriority w:val="22"/>
    <w:qFormat/>
    <w:rsid w:val="00AC54F4"/>
    <w:rPr>
      <w:b/>
      <w:bCs/>
    </w:rPr>
  </w:style>
  <w:style w:type="character" w:styleId="Emphasis">
    <w:name w:val="Emphasis"/>
    <w:basedOn w:val="DefaultParagraphFont"/>
    <w:uiPriority w:val="20"/>
    <w:qFormat/>
    <w:rsid w:val="00AC54F4"/>
    <w:rPr>
      <w:i/>
      <w:iCs/>
    </w:rPr>
  </w:style>
  <w:style w:type="character" w:customStyle="1" w:styleId="Heading1Char">
    <w:name w:val="Heading 1 Char"/>
    <w:basedOn w:val="DefaultParagraphFont"/>
    <w:link w:val="Heading1"/>
    <w:uiPriority w:val="9"/>
    <w:rsid w:val="00E71D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43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3A8"/>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ED43A8"/>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70B7A"/>
    <w:rPr>
      <w:sz w:val="16"/>
      <w:szCs w:val="16"/>
    </w:rPr>
  </w:style>
  <w:style w:type="paragraph" w:styleId="CommentText">
    <w:name w:val="annotation text"/>
    <w:basedOn w:val="Normal"/>
    <w:link w:val="CommentTextChar"/>
    <w:uiPriority w:val="99"/>
    <w:semiHidden/>
    <w:unhideWhenUsed/>
    <w:rsid w:val="00C70B7A"/>
    <w:rPr>
      <w:sz w:val="20"/>
    </w:rPr>
  </w:style>
  <w:style w:type="character" w:customStyle="1" w:styleId="CommentTextChar">
    <w:name w:val="Comment Text Char"/>
    <w:basedOn w:val="DefaultParagraphFont"/>
    <w:link w:val="CommentText"/>
    <w:uiPriority w:val="99"/>
    <w:semiHidden/>
    <w:rsid w:val="00C70B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B7A"/>
    <w:rPr>
      <w:b/>
      <w:bCs/>
    </w:rPr>
  </w:style>
  <w:style w:type="character" w:customStyle="1" w:styleId="CommentSubjectChar">
    <w:name w:val="Comment Subject Char"/>
    <w:basedOn w:val="CommentTextChar"/>
    <w:link w:val="CommentSubject"/>
    <w:uiPriority w:val="99"/>
    <w:semiHidden/>
    <w:rsid w:val="00C70B7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614C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1D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D43A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ED43A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 w:type="character" w:customStyle="1" w:styleId="apple-converted-space">
    <w:name w:val="apple-converted-space"/>
    <w:basedOn w:val="DefaultParagraphFont"/>
    <w:rsid w:val="00917973"/>
  </w:style>
  <w:style w:type="character" w:styleId="Hyperlink">
    <w:name w:val="Hyperlink"/>
    <w:basedOn w:val="DefaultParagraphFont"/>
    <w:uiPriority w:val="99"/>
    <w:unhideWhenUsed/>
    <w:rsid w:val="009669D4"/>
    <w:rPr>
      <w:color w:val="0000FF"/>
      <w:u w:val="single"/>
    </w:rPr>
  </w:style>
  <w:style w:type="paragraph" w:styleId="Caption">
    <w:name w:val="caption"/>
    <w:basedOn w:val="Normal"/>
    <w:next w:val="Normal"/>
    <w:uiPriority w:val="35"/>
    <w:unhideWhenUsed/>
    <w:qFormat/>
    <w:rsid w:val="00AE29F4"/>
    <w:pPr>
      <w:spacing w:after="200"/>
    </w:pPr>
    <w:rPr>
      <w:b/>
      <w:bCs/>
      <w:color w:val="4F81BD" w:themeColor="accent1"/>
      <w:sz w:val="18"/>
      <w:szCs w:val="18"/>
    </w:rPr>
  </w:style>
  <w:style w:type="character" w:styleId="Strong">
    <w:name w:val="Strong"/>
    <w:basedOn w:val="DefaultParagraphFont"/>
    <w:uiPriority w:val="22"/>
    <w:qFormat/>
    <w:rsid w:val="00AC54F4"/>
    <w:rPr>
      <w:b/>
      <w:bCs/>
    </w:rPr>
  </w:style>
  <w:style w:type="character" w:styleId="Emphasis">
    <w:name w:val="Emphasis"/>
    <w:basedOn w:val="DefaultParagraphFont"/>
    <w:uiPriority w:val="20"/>
    <w:qFormat/>
    <w:rsid w:val="00AC54F4"/>
    <w:rPr>
      <w:i/>
      <w:iCs/>
    </w:rPr>
  </w:style>
  <w:style w:type="character" w:customStyle="1" w:styleId="Heading1Char">
    <w:name w:val="Heading 1 Char"/>
    <w:basedOn w:val="DefaultParagraphFont"/>
    <w:link w:val="Heading1"/>
    <w:uiPriority w:val="9"/>
    <w:rsid w:val="00E71DA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D43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ED43A8"/>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ED43A8"/>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C70B7A"/>
    <w:rPr>
      <w:sz w:val="16"/>
      <w:szCs w:val="16"/>
    </w:rPr>
  </w:style>
  <w:style w:type="paragraph" w:styleId="CommentText">
    <w:name w:val="annotation text"/>
    <w:basedOn w:val="Normal"/>
    <w:link w:val="CommentTextChar"/>
    <w:uiPriority w:val="99"/>
    <w:semiHidden/>
    <w:unhideWhenUsed/>
    <w:rsid w:val="00C70B7A"/>
    <w:rPr>
      <w:sz w:val="20"/>
    </w:rPr>
  </w:style>
  <w:style w:type="character" w:customStyle="1" w:styleId="CommentTextChar">
    <w:name w:val="Comment Text Char"/>
    <w:basedOn w:val="DefaultParagraphFont"/>
    <w:link w:val="CommentText"/>
    <w:uiPriority w:val="99"/>
    <w:semiHidden/>
    <w:rsid w:val="00C70B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70B7A"/>
    <w:rPr>
      <w:b/>
      <w:bCs/>
    </w:rPr>
  </w:style>
  <w:style w:type="character" w:customStyle="1" w:styleId="CommentSubjectChar">
    <w:name w:val="Comment Subject Char"/>
    <w:basedOn w:val="CommentTextChar"/>
    <w:link w:val="CommentSubject"/>
    <w:uiPriority w:val="99"/>
    <w:semiHidden/>
    <w:rsid w:val="00C70B7A"/>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C614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9354655">
      <w:bodyDiv w:val="1"/>
      <w:marLeft w:val="0"/>
      <w:marRight w:val="0"/>
      <w:marTop w:val="0"/>
      <w:marBottom w:val="0"/>
      <w:divBdr>
        <w:top w:val="none" w:sz="0" w:space="0" w:color="auto"/>
        <w:left w:val="none" w:sz="0" w:space="0" w:color="auto"/>
        <w:bottom w:val="none" w:sz="0" w:space="0" w:color="auto"/>
        <w:right w:val="none" w:sz="0" w:space="0" w:color="auto"/>
      </w:divBdr>
    </w:div>
    <w:div w:id="1214348451">
      <w:bodyDiv w:val="1"/>
      <w:marLeft w:val="0"/>
      <w:marRight w:val="0"/>
      <w:marTop w:val="0"/>
      <w:marBottom w:val="0"/>
      <w:divBdr>
        <w:top w:val="none" w:sz="0" w:space="0" w:color="auto"/>
        <w:left w:val="none" w:sz="0" w:space="0" w:color="auto"/>
        <w:bottom w:val="none" w:sz="0" w:space="0" w:color="auto"/>
        <w:right w:val="none" w:sz="0" w:space="0" w:color="auto"/>
      </w:divBdr>
    </w:div>
    <w:div w:id="1807426527">
      <w:bodyDiv w:val="1"/>
      <w:marLeft w:val="0"/>
      <w:marRight w:val="0"/>
      <w:marTop w:val="0"/>
      <w:marBottom w:val="0"/>
      <w:divBdr>
        <w:top w:val="none" w:sz="0" w:space="0" w:color="auto"/>
        <w:left w:val="none" w:sz="0" w:space="0" w:color="auto"/>
        <w:bottom w:val="none" w:sz="0" w:space="0" w:color="auto"/>
        <w:right w:val="none" w:sz="0" w:space="0" w:color="auto"/>
      </w:divBdr>
      <w:divsChild>
        <w:div w:id="906186334">
          <w:marLeft w:val="0"/>
          <w:marRight w:val="0"/>
          <w:marTop w:val="0"/>
          <w:marBottom w:val="0"/>
          <w:divBdr>
            <w:top w:val="none" w:sz="0" w:space="0" w:color="auto"/>
            <w:left w:val="none" w:sz="0" w:space="0" w:color="auto"/>
            <w:bottom w:val="none" w:sz="0" w:space="0" w:color="auto"/>
            <w:right w:val="none" w:sz="0" w:space="0" w:color="auto"/>
          </w:divBdr>
          <w:divsChild>
            <w:div w:id="1782645378">
              <w:marLeft w:val="0"/>
              <w:marRight w:val="0"/>
              <w:marTop w:val="0"/>
              <w:marBottom w:val="0"/>
              <w:divBdr>
                <w:top w:val="none" w:sz="0" w:space="0" w:color="auto"/>
                <w:left w:val="none" w:sz="0" w:space="0" w:color="auto"/>
                <w:bottom w:val="single" w:sz="6" w:space="0" w:color="EEEEEE"/>
                <w:right w:val="none" w:sz="0" w:space="0" w:color="auto"/>
              </w:divBdr>
              <w:divsChild>
                <w:div w:id="768890218">
                  <w:marLeft w:val="0"/>
                  <w:marRight w:val="0"/>
                  <w:marTop w:val="0"/>
                  <w:marBottom w:val="0"/>
                  <w:divBdr>
                    <w:top w:val="none" w:sz="0" w:space="0" w:color="auto"/>
                    <w:left w:val="none" w:sz="0" w:space="0" w:color="auto"/>
                    <w:bottom w:val="single" w:sz="6" w:space="0" w:color="EEEEEE"/>
                    <w:right w:val="none" w:sz="0" w:space="0" w:color="auto"/>
                  </w:divBdr>
                  <w:divsChild>
                    <w:div w:id="781799981">
                      <w:marLeft w:val="0"/>
                      <w:marRight w:val="0"/>
                      <w:marTop w:val="0"/>
                      <w:marBottom w:val="0"/>
                      <w:divBdr>
                        <w:top w:val="none" w:sz="0" w:space="0" w:color="auto"/>
                        <w:left w:val="none" w:sz="0" w:space="0" w:color="auto"/>
                        <w:bottom w:val="none" w:sz="0" w:space="0" w:color="auto"/>
                        <w:right w:val="none" w:sz="0" w:space="0" w:color="auto"/>
                      </w:divBdr>
                      <w:divsChild>
                        <w:div w:id="1294680457">
                          <w:marLeft w:val="0"/>
                          <w:marRight w:val="0"/>
                          <w:marTop w:val="0"/>
                          <w:marBottom w:val="0"/>
                          <w:divBdr>
                            <w:top w:val="none" w:sz="0" w:space="0" w:color="auto"/>
                            <w:left w:val="none" w:sz="0" w:space="0" w:color="auto"/>
                            <w:bottom w:val="none" w:sz="0" w:space="0" w:color="auto"/>
                            <w:right w:val="none" w:sz="0" w:space="0" w:color="auto"/>
                          </w:divBdr>
                          <w:divsChild>
                            <w:div w:id="1115172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0465246">
          <w:marLeft w:val="0"/>
          <w:marRight w:val="0"/>
          <w:marTop w:val="0"/>
          <w:marBottom w:val="0"/>
          <w:divBdr>
            <w:top w:val="none" w:sz="0" w:space="0" w:color="auto"/>
            <w:left w:val="none" w:sz="0" w:space="0" w:color="auto"/>
            <w:bottom w:val="none" w:sz="0" w:space="0" w:color="auto"/>
            <w:right w:val="none" w:sz="0" w:space="0" w:color="auto"/>
          </w:divBdr>
          <w:divsChild>
            <w:div w:id="218981849">
              <w:marLeft w:val="0"/>
              <w:marRight w:val="0"/>
              <w:marTop w:val="0"/>
              <w:marBottom w:val="0"/>
              <w:divBdr>
                <w:top w:val="none" w:sz="0" w:space="0" w:color="auto"/>
                <w:left w:val="none" w:sz="0" w:space="0" w:color="auto"/>
                <w:bottom w:val="none" w:sz="0" w:space="0" w:color="auto"/>
                <w:right w:val="none" w:sz="0" w:space="0" w:color="auto"/>
              </w:divBdr>
              <w:divsChild>
                <w:div w:id="1373265170">
                  <w:marLeft w:val="0"/>
                  <w:marRight w:val="450"/>
                  <w:marTop w:val="0"/>
                  <w:marBottom w:val="0"/>
                  <w:divBdr>
                    <w:top w:val="none" w:sz="0" w:space="0" w:color="auto"/>
                    <w:left w:val="none" w:sz="0" w:space="0" w:color="auto"/>
                    <w:bottom w:val="none" w:sz="0" w:space="0" w:color="auto"/>
                    <w:right w:val="none" w:sz="0" w:space="0" w:color="auto"/>
                  </w:divBdr>
                  <w:divsChild>
                    <w:div w:id="121728276">
                      <w:marLeft w:val="0"/>
                      <w:marRight w:val="0"/>
                      <w:marTop w:val="0"/>
                      <w:marBottom w:val="0"/>
                      <w:divBdr>
                        <w:top w:val="none" w:sz="0" w:space="0" w:color="auto"/>
                        <w:left w:val="none" w:sz="0" w:space="0" w:color="auto"/>
                        <w:bottom w:val="none" w:sz="0" w:space="0" w:color="auto"/>
                        <w:right w:val="none" w:sz="0" w:space="0" w:color="auto"/>
                      </w:divBdr>
                      <w:divsChild>
                        <w:div w:id="468593534">
                          <w:marLeft w:val="0"/>
                          <w:marRight w:val="0"/>
                          <w:marTop w:val="0"/>
                          <w:marBottom w:val="0"/>
                          <w:divBdr>
                            <w:top w:val="none" w:sz="0" w:space="0" w:color="auto"/>
                            <w:left w:val="none" w:sz="0" w:space="0" w:color="auto"/>
                            <w:bottom w:val="none" w:sz="0" w:space="0" w:color="auto"/>
                            <w:right w:val="none" w:sz="0" w:space="0" w:color="auto"/>
                          </w:divBdr>
                        </w:div>
                        <w:div w:id="1699966650">
                          <w:marLeft w:val="0"/>
                          <w:marRight w:val="0"/>
                          <w:marTop w:val="0"/>
                          <w:marBottom w:val="150"/>
                          <w:divBdr>
                            <w:top w:val="none" w:sz="0" w:space="0" w:color="auto"/>
                            <w:left w:val="none" w:sz="0" w:space="0" w:color="auto"/>
                            <w:bottom w:val="none" w:sz="0" w:space="0" w:color="auto"/>
                            <w:right w:val="none" w:sz="0" w:space="0" w:color="auto"/>
                          </w:divBdr>
                          <w:divsChild>
                            <w:div w:id="44866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692842">
          <w:marLeft w:val="0"/>
          <w:marRight w:val="0"/>
          <w:marTop w:val="0"/>
          <w:marBottom w:val="0"/>
          <w:divBdr>
            <w:top w:val="none" w:sz="0" w:space="0" w:color="auto"/>
            <w:left w:val="none" w:sz="0" w:space="0" w:color="auto"/>
            <w:bottom w:val="none" w:sz="0" w:space="0" w:color="auto"/>
            <w:right w:val="none" w:sz="0" w:space="0" w:color="auto"/>
          </w:divBdr>
          <w:divsChild>
            <w:div w:id="104010782">
              <w:marLeft w:val="-225"/>
              <w:marRight w:val="-225"/>
              <w:marTop w:val="0"/>
              <w:marBottom w:val="100"/>
              <w:divBdr>
                <w:top w:val="none" w:sz="0" w:space="0" w:color="auto"/>
                <w:left w:val="none" w:sz="0" w:space="0" w:color="auto"/>
                <w:bottom w:val="none" w:sz="0" w:space="0" w:color="auto"/>
                <w:right w:val="none" w:sz="0" w:space="0" w:color="auto"/>
              </w:divBdr>
              <w:divsChild>
                <w:div w:id="1156532146">
                  <w:marLeft w:val="0"/>
                  <w:marRight w:val="0"/>
                  <w:marTop w:val="0"/>
                  <w:marBottom w:val="0"/>
                  <w:divBdr>
                    <w:top w:val="none" w:sz="0" w:space="0" w:color="auto"/>
                    <w:left w:val="none" w:sz="0" w:space="0" w:color="auto"/>
                    <w:bottom w:val="none" w:sz="0" w:space="0" w:color="auto"/>
                    <w:right w:val="none" w:sz="0" w:space="0" w:color="auto"/>
                  </w:divBdr>
                  <w:divsChild>
                    <w:div w:id="1757743633">
                      <w:marLeft w:val="-225"/>
                      <w:marRight w:val="-225"/>
                      <w:marTop w:val="0"/>
                      <w:marBottom w:val="100"/>
                      <w:divBdr>
                        <w:top w:val="none" w:sz="0" w:space="0" w:color="auto"/>
                        <w:left w:val="none" w:sz="0" w:space="0" w:color="auto"/>
                        <w:bottom w:val="none" w:sz="0" w:space="0" w:color="auto"/>
                        <w:right w:val="none" w:sz="0" w:space="0" w:color="auto"/>
                      </w:divBdr>
                      <w:divsChild>
                        <w:div w:id="2094204627">
                          <w:marLeft w:val="0"/>
                          <w:marRight w:val="0"/>
                          <w:marTop w:val="0"/>
                          <w:marBottom w:val="0"/>
                          <w:divBdr>
                            <w:top w:val="none" w:sz="0" w:space="0" w:color="auto"/>
                            <w:left w:val="none" w:sz="0" w:space="0" w:color="auto"/>
                            <w:bottom w:val="none" w:sz="0" w:space="0" w:color="auto"/>
                            <w:right w:val="none" w:sz="0" w:space="0" w:color="auto"/>
                          </w:divBdr>
                          <w:divsChild>
                            <w:div w:id="150466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637265">
                      <w:marLeft w:val="0"/>
                      <w:marRight w:val="0"/>
                      <w:marTop w:val="0"/>
                      <w:marBottom w:val="450"/>
                      <w:divBdr>
                        <w:top w:val="none" w:sz="0" w:space="0" w:color="auto"/>
                        <w:left w:val="none" w:sz="0" w:space="0" w:color="auto"/>
                        <w:bottom w:val="none" w:sz="0" w:space="0" w:color="auto"/>
                        <w:right w:val="none" w:sz="0" w:space="0" w:color="auto"/>
                      </w:divBdr>
                      <w:divsChild>
                        <w:div w:id="849608996">
                          <w:marLeft w:val="0"/>
                          <w:marRight w:val="0"/>
                          <w:marTop w:val="0"/>
                          <w:marBottom w:val="150"/>
                          <w:divBdr>
                            <w:top w:val="none" w:sz="0" w:space="0" w:color="auto"/>
                            <w:left w:val="none" w:sz="0" w:space="0" w:color="auto"/>
                            <w:bottom w:val="none" w:sz="0" w:space="0" w:color="auto"/>
                            <w:right w:val="none" w:sz="0" w:space="0" w:color="auto"/>
                          </w:divBdr>
                        </w:div>
                        <w:div w:id="710305465">
                          <w:marLeft w:val="0"/>
                          <w:marRight w:val="0"/>
                          <w:marTop w:val="0"/>
                          <w:marBottom w:val="0"/>
                          <w:divBdr>
                            <w:top w:val="none" w:sz="0" w:space="0" w:color="auto"/>
                            <w:left w:val="none" w:sz="0" w:space="0" w:color="auto"/>
                            <w:bottom w:val="none" w:sz="0" w:space="0" w:color="auto"/>
                            <w:right w:val="none" w:sz="0" w:space="0" w:color="auto"/>
                          </w:divBdr>
                          <w:divsChild>
                            <w:div w:id="1269004129">
                              <w:marLeft w:val="0"/>
                              <w:marRight w:val="0"/>
                              <w:marTop w:val="0"/>
                              <w:marBottom w:val="150"/>
                              <w:divBdr>
                                <w:top w:val="none" w:sz="0" w:space="0" w:color="auto"/>
                                <w:left w:val="none" w:sz="0" w:space="0" w:color="auto"/>
                                <w:bottom w:val="none" w:sz="0" w:space="0" w:color="auto"/>
                                <w:right w:val="none" w:sz="0" w:space="0" w:color="auto"/>
                              </w:divBdr>
                              <w:divsChild>
                                <w:div w:id="1364089621">
                                  <w:marLeft w:val="-225"/>
                                  <w:marRight w:val="-225"/>
                                  <w:marTop w:val="0"/>
                                  <w:marBottom w:val="100"/>
                                  <w:divBdr>
                                    <w:top w:val="none" w:sz="0" w:space="0" w:color="auto"/>
                                    <w:left w:val="none" w:sz="0" w:space="0" w:color="auto"/>
                                    <w:bottom w:val="none" w:sz="0" w:space="0" w:color="auto"/>
                                    <w:right w:val="none" w:sz="0" w:space="0" w:color="auto"/>
                                  </w:divBdr>
                                  <w:divsChild>
                                    <w:div w:id="13983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569728">
                              <w:marLeft w:val="225"/>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03EC8F-1A4F-4328-ADFD-93086096F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827</Words>
  <Characters>4719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4</cp:revision>
  <cp:lastPrinted>2018-08-02T03:37:00Z</cp:lastPrinted>
  <dcterms:created xsi:type="dcterms:W3CDTF">2018-04-30T19:51:00Z</dcterms:created>
  <dcterms:modified xsi:type="dcterms:W3CDTF">2018-08-02T03:37:00Z</dcterms:modified>
</cp:coreProperties>
</file>