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51" w:rsidRPr="00210768" w:rsidRDefault="00534C3E" w:rsidP="00534C3E">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rPr>
          <w:bCs/>
          <w:szCs w:val="24"/>
        </w:rPr>
      </w:pPr>
      <w:r>
        <w:rPr>
          <w:rFonts w:eastAsiaTheme="minorEastAsia"/>
          <w:b/>
          <w:color w:val="1F497D" w:themeColor="text2"/>
          <w:sz w:val="36"/>
          <w:szCs w:val="36"/>
        </w:rPr>
        <w:t xml:space="preserve">The </w:t>
      </w:r>
      <w:r w:rsidRPr="00534C3E">
        <w:rPr>
          <w:rFonts w:eastAsiaTheme="minorEastAsia"/>
          <w:b/>
          <w:color w:val="1F497D" w:themeColor="text2"/>
          <w:sz w:val="36"/>
          <w:szCs w:val="36"/>
        </w:rPr>
        <w:t>Visual Analogue Scale as an Outcome Assessment Tool</w:t>
      </w:r>
    </w:p>
    <w:p w:rsidR="00295F24" w:rsidRDefault="00295F24" w:rsidP="00AA6D1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p>
    <w:p w:rsidR="00B823D7" w:rsidRPr="00295F24" w:rsidRDefault="00B4412D" w:rsidP="00AA6D1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r w:rsidRPr="00295F24">
        <w:rPr>
          <w:bCs/>
          <w:sz w:val="21"/>
          <w:szCs w:val="21"/>
        </w:rPr>
        <w:t>Outcome assessments</w:t>
      </w:r>
      <w:r w:rsidR="00E61B58" w:rsidRPr="00295F24">
        <w:rPr>
          <w:bCs/>
          <w:sz w:val="21"/>
          <w:szCs w:val="21"/>
        </w:rPr>
        <w:t xml:space="preserve"> (OA)</w:t>
      </w:r>
      <w:r w:rsidRPr="00295F24">
        <w:rPr>
          <w:bCs/>
          <w:sz w:val="21"/>
          <w:szCs w:val="21"/>
        </w:rPr>
        <w:t xml:space="preserve"> are tools that evaluate pati</w:t>
      </w:r>
      <w:r w:rsidR="00C8363A" w:rsidRPr="00295F24">
        <w:rPr>
          <w:bCs/>
          <w:sz w:val="21"/>
          <w:szCs w:val="21"/>
        </w:rPr>
        <w:t>ent status and progress. T</w:t>
      </w:r>
      <w:r w:rsidRPr="00295F24">
        <w:rPr>
          <w:bCs/>
          <w:sz w:val="21"/>
          <w:szCs w:val="21"/>
        </w:rPr>
        <w:t xml:space="preserve">hey have been used for years </w:t>
      </w:r>
      <w:r w:rsidR="00C8363A" w:rsidRPr="00295F24">
        <w:rPr>
          <w:bCs/>
          <w:sz w:val="21"/>
          <w:szCs w:val="21"/>
        </w:rPr>
        <w:t>in research and in private settings. OAs</w:t>
      </w:r>
      <w:r w:rsidRPr="00295F24">
        <w:rPr>
          <w:bCs/>
          <w:sz w:val="21"/>
          <w:szCs w:val="21"/>
        </w:rPr>
        <w:t xml:space="preserve"> have become much more widely used </w:t>
      </w:r>
      <w:r w:rsidR="00B823D7" w:rsidRPr="00295F24">
        <w:rPr>
          <w:bCs/>
          <w:sz w:val="21"/>
          <w:szCs w:val="21"/>
        </w:rPr>
        <w:t>in recent years</w:t>
      </w:r>
      <w:r w:rsidRPr="00295F24">
        <w:rPr>
          <w:bCs/>
          <w:sz w:val="21"/>
          <w:szCs w:val="21"/>
        </w:rPr>
        <w:t xml:space="preserve"> as doctors are challenged </w:t>
      </w:r>
      <w:r w:rsidR="00B823D7" w:rsidRPr="00295F24">
        <w:rPr>
          <w:bCs/>
          <w:sz w:val="21"/>
          <w:szCs w:val="21"/>
        </w:rPr>
        <w:t xml:space="preserve">by their peers, and carriers </w:t>
      </w:r>
      <w:r w:rsidRPr="00295F24">
        <w:rPr>
          <w:bCs/>
          <w:sz w:val="21"/>
          <w:szCs w:val="21"/>
        </w:rPr>
        <w:t xml:space="preserve">to support their </w:t>
      </w:r>
      <w:r w:rsidR="00B823D7" w:rsidRPr="00295F24">
        <w:rPr>
          <w:bCs/>
          <w:sz w:val="21"/>
          <w:szCs w:val="21"/>
        </w:rPr>
        <w:t>management</w:t>
      </w:r>
      <w:r w:rsidRPr="00295F24">
        <w:rPr>
          <w:bCs/>
          <w:sz w:val="21"/>
          <w:szCs w:val="21"/>
        </w:rPr>
        <w:t xml:space="preserve"> recommendations and opinions regarding function and outcome. </w:t>
      </w:r>
    </w:p>
    <w:p w:rsidR="00B823D7" w:rsidRPr="00295F24" w:rsidRDefault="00B823D7" w:rsidP="00AA6D1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p>
    <w:p w:rsidR="00B4412D" w:rsidRPr="00295F24" w:rsidRDefault="00B4412D" w:rsidP="00AA6D1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r w:rsidRPr="00295F24">
        <w:rPr>
          <w:bCs/>
          <w:sz w:val="21"/>
          <w:szCs w:val="21"/>
        </w:rPr>
        <w:t xml:space="preserve">A review of the literature identifies over 28 different scoring systems just for lower back pain. The AMA Guides now recommends the use of </w:t>
      </w:r>
      <w:r w:rsidR="00E61B58" w:rsidRPr="00295F24">
        <w:rPr>
          <w:bCs/>
          <w:sz w:val="21"/>
          <w:szCs w:val="21"/>
        </w:rPr>
        <w:t>OAs</w:t>
      </w:r>
      <w:r w:rsidRPr="00295F24">
        <w:rPr>
          <w:bCs/>
          <w:sz w:val="21"/>
          <w:szCs w:val="21"/>
        </w:rPr>
        <w:t xml:space="preserve"> when performing permanent impairment evaluations. Despite the large number of </w:t>
      </w:r>
      <w:r w:rsidR="00E61B58" w:rsidRPr="00295F24">
        <w:rPr>
          <w:bCs/>
          <w:sz w:val="21"/>
          <w:szCs w:val="21"/>
        </w:rPr>
        <w:t>OA</w:t>
      </w:r>
      <w:r w:rsidRPr="00295F24">
        <w:rPr>
          <w:bCs/>
          <w:sz w:val="21"/>
          <w:szCs w:val="21"/>
        </w:rPr>
        <w:t xml:space="preserve"> tools available</w:t>
      </w:r>
      <w:r w:rsidR="00E61B58" w:rsidRPr="00295F24">
        <w:rPr>
          <w:bCs/>
          <w:sz w:val="21"/>
          <w:szCs w:val="21"/>
        </w:rPr>
        <w:t>, no particular OA tool has consistently been proven to be more valid, reliable or clinically sensitive than any ot</w:t>
      </w:r>
      <w:r w:rsidR="00B823D7" w:rsidRPr="00295F24">
        <w:rPr>
          <w:bCs/>
          <w:sz w:val="21"/>
          <w:szCs w:val="21"/>
        </w:rPr>
        <w:t>her.</w:t>
      </w:r>
      <w:r w:rsidR="00E61B58" w:rsidRPr="00295F24">
        <w:rPr>
          <w:bCs/>
          <w:sz w:val="21"/>
          <w:szCs w:val="21"/>
        </w:rPr>
        <w:t xml:space="preserve"> In other words, while all OA tools have gone through </w:t>
      </w:r>
      <w:r w:rsidR="00B823D7" w:rsidRPr="00295F24">
        <w:rPr>
          <w:bCs/>
          <w:sz w:val="21"/>
          <w:szCs w:val="21"/>
        </w:rPr>
        <w:t>validity testing none are necessarily better than others, despite claims made by the researchers themselves or by parties with interests of their own.</w:t>
      </w:r>
    </w:p>
    <w:p w:rsidR="00B823D7" w:rsidRPr="00295F24" w:rsidRDefault="00B823D7" w:rsidP="00AA6D1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p>
    <w:p w:rsidR="00A80875" w:rsidRPr="00295F24" w:rsidRDefault="00B823D7" w:rsidP="00AA6D1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color w:val="252525"/>
          <w:sz w:val="21"/>
          <w:szCs w:val="21"/>
          <w:shd w:val="clear" w:color="auto" w:fill="FFFFFF"/>
        </w:rPr>
      </w:pPr>
      <w:r w:rsidRPr="00295F24">
        <w:rPr>
          <w:bCs/>
          <w:sz w:val="21"/>
          <w:szCs w:val="21"/>
        </w:rPr>
        <w:t xml:space="preserve">Probably the </w:t>
      </w:r>
      <w:r w:rsidR="00C82885" w:rsidRPr="00295F24">
        <w:rPr>
          <w:bCs/>
          <w:sz w:val="21"/>
          <w:szCs w:val="21"/>
        </w:rPr>
        <w:t xml:space="preserve">oldest and </w:t>
      </w:r>
      <w:r w:rsidR="00A80875" w:rsidRPr="00295F24">
        <w:rPr>
          <w:bCs/>
          <w:sz w:val="21"/>
          <w:szCs w:val="21"/>
        </w:rPr>
        <w:t xml:space="preserve">most </w:t>
      </w:r>
      <w:r w:rsidRPr="00295F24">
        <w:rPr>
          <w:bCs/>
          <w:sz w:val="21"/>
          <w:szCs w:val="21"/>
        </w:rPr>
        <w:t>well know</w:t>
      </w:r>
      <w:r w:rsidR="00A80875" w:rsidRPr="00295F24">
        <w:rPr>
          <w:bCs/>
          <w:sz w:val="21"/>
          <w:szCs w:val="21"/>
        </w:rPr>
        <w:t>n</w:t>
      </w:r>
      <w:r w:rsidRPr="00295F24">
        <w:rPr>
          <w:bCs/>
          <w:sz w:val="21"/>
          <w:szCs w:val="21"/>
        </w:rPr>
        <w:t xml:space="preserve"> OA tool is the visual analogue scale</w:t>
      </w:r>
      <w:r w:rsidR="00A80875" w:rsidRPr="00295F24">
        <w:rPr>
          <w:bCs/>
          <w:sz w:val="21"/>
          <w:szCs w:val="21"/>
        </w:rPr>
        <w:t xml:space="preserve"> (VAS)</w:t>
      </w:r>
      <w:r w:rsidR="00C82885" w:rsidRPr="00295F24">
        <w:rPr>
          <w:bCs/>
          <w:sz w:val="21"/>
          <w:szCs w:val="21"/>
        </w:rPr>
        <w:t xml:space="preserve">. </w:t>
      </w:r>
      <w:r w:rsidR="00A80875" w:rsidRPr="00295F24">
        <w:rPr>
          <w:color w:val="252525"/>
          <w:sz w:val="21"/>
          <w:szCs w:val="21"/>
          <w:shd w:val="clear" w:color="auto" w:fill="FFFFFF"/>
        </w:rPr>
        <w:t>The visual analogue scale is a line, usually 10 cm long, with each end-point clearly marked and described</w:t>
      </w:r>
      <w:r w:rsidR="00A80875" w:rsidRPr="00295F24">
        <w:rPr>
          <w:sz w:val="21"/>
          <w:szCs w:val="21"/>
        </w:rPr>
        <w:t>.</w:t>
      </w:r>
      <w:r w:rsidR="00A80875" w:rsidRPr="00295F24">
        <w:rPr>
          <w:color w:val="252525"/>
          <w:sz w:val="21"/>
          <w:szCs w:val="21"/>
          <w:shd w:val="clear" w:color="auto" w:fill="FFFFFF"/>
        </w:rPr>
        <w:t xml:space="preserve"> Patients are asked to pick a number on the line that represents their pain level or intensity. This numeric value provides a quantitative variable that can be inserted into standard statistical tests for research or used </w:t>
      </w:r>
      <w:r w:rsidR="0037777D">
        <w:rPr>
          <w:color w:val="252525"/>
          <w:sz w:val="21"/>
          <w:szCs w:val="21"/>
          <w:shd w:val="clear" w:color="auto" w:fill="FFFFFF"/>
        </w:rPr>
        <w:t xml:space="preserve">clinically </w:t>
      </w:r>
      <w:r w:rsidR="00A80875" w:rsidRPr="00295F24">
        <w:rPr>
          <w:color w:val="252525"/>
          <w:sz w:val="21"/>
          <w:szCs w:val="21"/>
          <w:shd w:val="clear" w:color="auto" w:fill="FFFFFF"/>
        </w:rPr>
        <w:t>as a data point for follow-up assessments.</w:t>
      </w:r>
    </w:p>
    <w:p w:rsidR="00A80875" w:rsidRPr="00295F24" w:rsidRDefault="00A80875" w:rsidP="00AA6D1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color w:val="252525"/>
          <w:sz w:val="21"/>
          <w:szCs w:val="21"/>
          <w:shd w:val="clear" w:color="auto" w:fill="FFFFFF"/>
        </w:rPr>
      </w:pPr>
    </w:p>
    <w:p w:rsidR="00B823D7" w:rsidRPr="00295F24" w:rsidRDefault="00C8363A" w:rsidP="00AA6D1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r w:rsidRPr="00295F24">
        <w:rPr>
          <w:bCs/>
          <w:sz w:val="21"/>
          <w:szCs w:val="21"/>
        </w:rPr>
        <w:t>Many attorneys have questioned</w:t>
      </w:r>
      <w:r w:rsidR="00C82885" w:rsidRPr="00295F24">
        <w:rPr>
          <w:bCs/>
          <w:sz w:val="21"/>
          <w:szCs w:val="21"/>
        </w:rPr>
        <w:t xml:space="preserve"> the simplicity of the tool and the value in their client’s </w:t>
      </w:r>
      <w:r w:rsidRPr="00295F24">
        <w:rPr>
          <w:bCs/>
          <w:sz w:val="21"/>
          <w:szCs w:val="21"/>
        </w:rPr>
        <w:t>documentation</w:t>
      </w:r>
      <w:r w:rsidR="00A80875" w:rsidRPr="00295F24">
        <w:rPr>
          <w:bCs/>
          <w:sz w:val="21"/>
          <w:szCs w:val="21"/>
        </w:rPr>
        <w:t>. Y</w:t>
      </w:r>
      <w:r w:rsidR="00C82885" w:rsidRPr="00295F24">
        <w:rPr>
          <w:bCs/>
          <w:sz w:val="21"/>
          <w:szCs w:val="21"/>
        </w:rPr>
        <w:t>ou shou</w:t>
      </w:r>
      <w:r w:rsidR="00A80875" w:rsidRPr="00295F24">
        <w:rPr>
          <w:bCs/>
          <w:sz w:val="21"/>
          <w:szCs w:val="21"/>
        </w:rPr>
        <w:t xml:space="preserve">ld know that </w:t>
      </w:r>
      <w:r w:rsidRPr="00295F24">
        <w:rPr>
          <w:bCs/>
          <w:sz w:val="21"/>
          <w:szCs w:val="21"/>
        </w:rPr>
        <w:t>the VAS</w:t>
      </w:r>
      <w:r w:rsidR="00A80875" w:rsidRPr="00295F24">
        <w:rPr>
          <w:bCs/>
          <w:sz w:val="21"/>
          <w:szCs w:val="21"/>
        </w:rPr>
        <w:t xml:space="preserve"> </w:t>
      </w:r>
      <w:r w:rsidR="0028166D">
        <w:rPr>
          <w:bCs/>
          <w:sz w:val="21"/>
          <w:szCs w:val="21"/>
        </w:rPr>
        <w:t xml:space="preserve">is </w:t>
      </w:r>
      <w:bookmarkStart w:id="0" w:name="_GoBack"/>
      <w:bookmarkEnd w:id="0"/>
      <w:r w:rsidR="00A80875" w:rsidRPr="00295F24">
        <w:rPr>
          <w:bCs/>
          <w:sz w:val="21"/>
          <w:szCs w:val="21"/>
        </w:rPr>
        <w:t>an accepted OA tool that has been repeatedly validated in the research. In fact, m</w:t>
      </w:r>
      <w:r w:rsidRPr="00295F24">
        <w:rPr>
          <w:bCs/>
          <w:sz w:val="21"/>
          <w:szCs w:val="21"/>
        </w:rPr>
        <w:t>any</w:t>
      </w:r>
      <w:r w:rsidR="0037777D">
        <w:rPr>
          <w:bCs/>
          <w:sz w:val="21"/>
          <w:szCs w:val="21"/>
        </w:rPr>
        <w:t xml:space="preserve"> other </w:t>
      </w:r>
      <w:r w:rsidR="00A80875" w:rsidRPr="00295F24">
        <w:rPr>
          <w:bCs/>
          <w:sz w:val="21"/>
          <w:szCs w:val="21"/>
        </w:rPr>
        <w:t>OA</w:t>
      </w:r>
      <w:r w:rsidR="0037777D">
        <w:rPr>
          <w:bCs/>
          <w:sz w:val="21"/>
          <w:szCs w:val="21"/>
        </w:rPr>
        <w:t xml:space="preserve"> tools</w:t>
      </w:r>
      <w:r w:rsidR="00A80875" w:rsidRPr="00295F24">
        <w:rPr>
          <w:bCs/>
          <w:sz w:val="21"/>
          <w:szCs w:val="21"/>
        </w:rPr>
        <w:t xml:space="preserve"> </w:t>
      </w:r>
      <w:r w:rsidR="0037777D">
        <w:rPr>
          <w:bCs/>
          <w:sz w:val="21"/>
          <w:szCs w:val="21"/>
        </w:rPr>
        <w:t xml:space="preserve">are </w:t>
      </w:r>
      <w:r w:rsidR="00B17BAD" w:rsidRPr="00295F24">
        <w:rPr>
          <w:bCs/>
          <w:sz w:val="21"/>
          <w:szCs w:val="21"/>
        </w:rPr>
        <w:t>validate</w:t>
      </w:r>
      <w:r w:rsidR="0037777D">
        <w:rPr>
          <w:bCs/>
          <w:sz w:val="21"/>
          <w:szCs w:val="21"/>
        </w:rPr>
        <w:t>d</w:t>
      </w:r>
      <w:r w:rsidR="00A80875" w:rsidRPr="00295F24">
        <w:rPr>
          <w:bCs/>
          <w:sz w:val="21"/>
          <w:szCs w:val="21"/>
        </w:rPr>
        <w:t xml:space="preserve"> against the VAS</w:t>
      </w:r>
      <w:r w:rsidR="00B17BAD" w:rsidRPr="00295F24">
        <w:rPr>
          <w:bCs/>
          <w:sz w:val="21"/>
          <w:szCs w:val="21"/>
        </w:rPr>
        <w:t xml:space="preserve"> as a standard</w:t>
      </w:r>
      <w:r w:rsidRPr="00295F24">
        <w:rPr>
          <w:bCs/>
          <w:sz w:val="21"/>
          <w:szCs w:val="21"/>
        </w:rPr>
        <w:t xml:space="preserve">. It is a statistically </w:t>
      </w:r>
      <w:r w:rsidR="00C82885" w:rsidRPr="00295F24">
        <w:rPr>
          <w:bCs/>
          <w:sz w:val="21"/>
          <w:szCs w:val="21"/>
        </w:rPr>
        <w:t xml:space="preserve">reproducible </w:t>
      </w:r>
      <w:r w:rsidR="00A80875" w:rsidRPr="00295F24">
        <w:rPr>
          <w:bCs/>
          <w:sz w:val="21"/>
          <w:szCs w:val="21"/>
        </w:rPr>
        <w:t xml:space="preserve">method for scoring patient outcomes, particularly when used </w:t>
      </w:r>
      <w:r w:rsidR="00B17BAD" w:rsidRPr="00295F24">
        <w:rPr>
          <w:bCs/>
          <w:sz w:val="21"/>
          <w:szCs w:val="21"/>
        </w:rPr>
        <w:t xml:space="preserve">serially </w:t>
      </w:r>
      <w:r w:rsidR="00A80875" w:rsidRPr="00295F24">
        <w:rPr>
          <w:bCs/>
          <w:sz w:val="21"/>
          <w:szCs w:val="21"/>
        </w:rPr>
        <w:t xml:space="preserve">throughout a patients care to show improvement or lack thereof. </w:t>
      </w:r>
    </w:p>
    <w:p w:rsidR="00C8363A" w:rsidRPr="00295F24" w:rsidRDefault="00C8363A" w:rsidP="00AA6D1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p>
    <w:p w:rsidR="00C8363A" w:rsidRPr="00295F24" w:rsidRDefault="00C8363A" w:rsidP="00AA6D1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r w:rsidRPr="00295F24">
        <w:rPr>
          <w:bCs/>
          <w:sz w:val="21"/>
          <w:szCs w:val="21"/>
        </w:rPr>
        <w:t xml:space="preserve">Other OAs </w:t>
      </w:r>
      <w:proofErr w:type="gramStart"/>
      <w:r w:rsidRPr="00295F24">
        <w:rPr>
          <w:bCs/>
          <w:sz w:val="21"/>
          <w:szCs w:val="21"/>
        </w:rPr>
        <w:t>have</w:t>
      </w:r>
      <w:proofErr w:type="gramEnd"/>
      <w:r w:rsidR="00B17BAD" w:rsidRPr="00295F24">
        <w:rPr>
          <w:bCs/>
          <w:sz w:val="21"/>
          <w:szCs w:val="21"/>
        </w:rPr>
        <w:t xml:space="preserve"> recently</w:t>
      </w:r>
      <w:r w:rsidRPr="00295F24">
        <w:rPr>
          <w:bCs/>
          <w:sz w:val="21"/>
          <w:szCs w:val="21"/>
        </w:rPr>
        <w:t xml:space="preserve"> been suggested as being the gold standard. These include the DASH for upper extremity evaluations, Roland-Morris for back pain, Neck Pain Disability Index for neck pain, </w:t>
      </w:r>
      <w:proofErr w:type="spellStart"/>
      <w:r w:rsidRPr="00295F24">
        <w:rPr>
          <w:bCs/>
          <w:sz w:val="21"/>
          <w:szCs w:val="21"/>
        </w:rPr>
        <w:t>Oswestry</w:t>
      </w:r>
      <w:proofErr w:type="spellEnd"/>
      <w:r w:rsidRPr="00295F24">
        <w:rPr>
          <w:bCs/>
          <w:sz w:val="21"/>
          <w:szCs w:val="21"/>
        </w:rPr>
        <w:t xml:space="preserve"> for function, SCL-90R, etc. However, few of these have been validated for gender, ethnic</w:t>
      </w:r>
      <w:r w:rsidR="00B17BAD" w:rsidRPr="00295F24">
        <w:rPr>
          <w:bCs/>
          <w:sz w:val="21"/>
          <w:szCs w:val="21"/>
        </w:rPr>
        <w:t>, language</w:t>
      </w:r>
      <w:r w:rsidRPr="00295F24">
        <w:rPr>
          <w:bCs/>
          <w:sz w:val="21"/>
          <w:szCs w:val="21"/>
        </w:rPr>
        <w:t xml:space="preserve"> or cultural bias</w:t>
      </w:r>
      <w:r w:rsidR="00B17BAD" w:rsidRPr="00295F24">
        <w:rPr>
          <w:bCs/>
          <w:sz w:val="21"/>
          <w:szCs w:val="21"/>
        </w:rPr>
        <w:t xml:space="preserve">. In some of the </w:t>
      </w:r>
      <w:r w:rsidRPr="00295F24">
        <w:rPr>
          <w:bCs/>
          <w:sz w:val="21"/>
          <w:szCs w:val="21"/>
        </w:rPr>
        <w:t>population</w:t>
      </w:r>
      <w:r w:rsidR="00B17BAD" w:rsidRPr="00295F24">
        <w:rPr>
          <w:bCs/>
          <w:sz w:val="21"/>
          <w:szCs w:val="21"/>
        </w:rPr>
        <w:t>s</w:t>
      </w:r>
      <w:r w:rsidRPr="00295F24">
        <w:rPr>
          <w:bCs/>
          <w:sz w:val="21"/>
          <w:szCs w:val="21"/>
        </w:rPr>
        <w:t xml:space="preserve"> we </w:t>
      </w:r>
      <w:r w:rsidR="00B17BAD" w:rsidRPr="00295F24">
        <w:rPr>
          <w:bCs/>
          <w:sz w:val="21"/>
          <w:szCs w:val="21"/>
        </w:rPr>
        <w:t>attend to</w:t>
      </w:r>
      <w:r w:rsidRPr="00295F24">
        <w:rPr>
          <w:bCs/>
          <w:sz w:val="21"/>
          <w:szCs w:val="21"/>
        </w:rPr>
        <w:t xml:space="preserve"> these are very real considerations</w:t>
      </w:r>
      <w:r w:rsidR="00B17BAD" w:rsidRPr="00295F24">
        <w:rPr>
          <w:bCs/>
          <w:sz w:val="21"/>
          <w:szCs w:val="21"/>
        </w:rPr>
        <w:t xml:space="preserve">. As an example, under-educated populations or people with language barriers are unable to consistently complete complex and sophisticated OA questionnaires which can be many pages long </w:t>
      </w:r>
      <w:r w:rsidR="0037777D">
        <w:rPr>
          <w:bCs/>
          <w:sz w:val="21"/>
          <w:szCs w:val="21"/>
        </w:rPr>
        <w:t>and</w:t>
      </w:r>
      <w:r w:rsidR="00B17BAD" w:rsidRPr="00295F24">
        <w:rPr>
          <w:bCs/>
          <w:sz w:val="21"/>
          <w:szCs w:val="21"/>
        </w:rPr>
        <w:t xml:space="preserve"> confusing. For these populations, a simple VAS diagram is sufficient to determine pain intensity and demonstrate a trend towards improvement or stationary status. When needed, more sophisticated OAs can be utilized to define other more specific functional limitations but as a guide to treatment efficacy the VAS tool is more than sufficient.</w:t>
      </w:r>
    </w:p>
    <w:p w:rsidR="00516A0F" w:rsidRPr="00295F24" w:rsidRDefault="00516A0F" w:rsidP="00AA6D1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p>
    <w:p w:rsidR="00516A0F" w:rsidRPr="00295F24" w:rsidRDefault="00295F24" w:rsidP="00AA6D1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r w:rsidRPr="00295F24">
        <w:rPr>
          <w:noProof/>
          <w:color w:val="000000"/>
          <w:sz w:val="21"/>
          <w:szCs w:val="21"/>
        </w:rPr>
        <w:drawing>
          <wp:anchor distT="0" distB="0" distL="114300" distR="114300" simplePos="0" relativeHeight="251659264" behindDoc="1" locked="0" layoutInCell="1" allowOverlap="1" wp14:anchorId="34D8445D" wp14:editId="67C36CD7">
            <wp:simplePos x="0" y="0"/>
            <wp:positionH relativeFrom="column">
              <wp:posOffset>-298450</wp:posOffset>
            </wp:positionH>
            <wp:positionV relativeFrom="paragraph">
              <wp:posOffset>1053646</wp:posOffset>
            </wp:positionV>
            <wp:extent cx="6343650" cy="23139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0" cy="231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6A0F" w:rsidRPr="00295F24">
        <w:rPr>
          <w:bCs/>
          <w:sz w:val="21"/>
          <w:szCs w:val="21"/>
        </w:rPr>
        <w:t>Bel</w:t>
      </w:r>
      <w:r w:rsidRPr="00295F24">
        <w:rPr>
          <w:bCs/>
          <w:sz w:val="21"/>
          <w:szCs w:val="21"/>
        </w:rPr>
        <w:t>ow and attached is a sample of the</w:t>
      </w:r>
      <w:r w:rsidR="00516A0F" w:rsidRPr="00295F24">
        <w:rPr>
          <w:bCs/>
          <w:sz w:val="21"/>
          <w:szCs w:val="21"/>
        </w:rPr>
        <w:t xml:space="preserve"> VAS that we use in our practices</w:t>
      </w:r>
      <w:r w:rsidRPr="00295F24">
        <w:rPr>
          <w:bCs/>
          <w:sz w:val="21"/>
          <w:szCs w:val="21"/>
        </w:rPr>
        <w:t xml:space="preserve">. We have added a color scale and bilingual verbiage to add a multimodal experience for our patients and to improve its accuracy. In the end, it is the </w:t>
      </w:r>
      <w:proofErr w:type="gramStart"/>
      <w:r w:rsidRPr="00295F24">
        <w:rPr>
          <w:bCs/>
          <w:sz w:val="21"/>
          <w:szCs w:val="21"/>
        </w:rPr>
        <w:t>doctors</w:t>
      </w:r>
      <w:proofErr w:type="gramEnd"/>
      <w:r w:rsidRPr="00295F24">
        <w:rPr>
          <w:bCs/>
          <w:sz w:val="21"/>
          <w:szCs w:val="21"/>
        </w:rPr>
        <w:t xml:space="preserve"> experience with the patient over many encounters and time that ultimately defines the efficacy of treatment and the </w:t>
      </w:r>
      <w:r w:rsidR="0037777D">
        <w:rPr>
          <w:bCs/>
          <w:sz w:val="21"/>
          <w:szCs w:val="21"/>
        </w:rPr>
        <w:t>outcome</w:t>
      </w:r>
      <w:r w:rsidRPr="00295F24">
        <w:rPr>
          <w:bCs/>
          <w:sz w:val="21"/>
          <w:szCs w:val="21"/>
        </w:rPr>
        <w:t xml:space="preserve"> of the patient. Until one OA </w:t>
      </w:r>
      <w:r w:rsidR="0028166D" w:rsidRPr="00295F24">
        <w:rPr>
          <w:bCs/>
          <w:sz w:val="21"/>
          <w:szCs w:val="21"/>
        </w:rPr>
        <w:t>demonstrates</w:t>
      </w:r>
      <w:r w:rsidRPr="00295F24">
        <w:rPr>
          <w:bCs/>
          <w:sz w:val="21"/>
          <w:szCs w:val="21"/>
        </w:rPr>
        <w:t xml:space="preserve"> significant superiority over all others you should be comfortable knowing that the VAS scale can accomplish the same clinical and documentation benefit as almost any other OA tool. Your feedback and comments about our newsletter</w:t>
      </w:r>
      <w:r w:rsidR="0037777D">
        <w:rPr>
          <w:bCs/>
          <w:sz w:val="21"/>
          <w:szCs w:val="21"/>
        </w:rPr>
        <w:t xml:space="preserve">s </w:t>
      </w:r>
      <w:r w:rsidRPr="00295F24">
        <w:rPr>
          <w:bCs/>
          <w:sz w:val="21"/>
          <w:szCs w:val="21"/>
        </w:rPr>
        <w:t xml:space="preserve">are always welcome and appreciated.  </w:t>
      </w:r>
      <w:hyperlink r:id="rId10" w:history="1">
        <w:r w:rsidRPr="00295F24">
          <w:rPr>
            <w:rStyle w:val="Hyperlink"/>
            <w:bCs/>
            <w:sz w:val="21"/>
            <w:szCs w:val="21"/>
          </w:rPr>
          <w:t>Dr.Shaw@ShawChiropractic.com</w:t>
        </w:r>
      </w:hyperlink>
    </w:p>
    <w:p w:rsidR="00C82885" w:rsidRDefault="00C82885" w:rsidP="00AA6D1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p>
    <w:p w:rsidR="00C82885" w:rsidRDefault="00C82885" w:rsidP="00AA6D1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p>
    <w:p w:rsidR="00B4412D" w:rsidRDefault="00B4412D" w:rsidP="00AA6D1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p>
    <w:p w:rsidR="00EB2981" w:rsidRDefault="00C82885" w:rsidP="00AA6D1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r>
        <w:rPr>
          <w:rFonts w:ascii="Calibri" w:hAnsi="Calibri" w:cs="Calibri"/>
          <w:noProof/>
          <w:color w:val="000000"/>
          <w:sz w:val="21"/>
          <w:szCs w:val="21"/>
        </w:rPr>
        <w:drawing>
          <wp:anchor distT="0" distB="0" distL="114300" distR="114300" simplePos="0" relativeHeight="251658240" behindDoc="1" locked="0" layoutInCell="1" allowOverlap="1" wp14:anchorId="4B9623C9" wp14:editId="59E7C36A">
            <wp:simplePos x="0" y="0"/>
            <wp:positionH relativeFrom="column">
              <wp:posOffset>-470535</wp:posOffset>
            </wp:positionH>
            <wp:positionV relativeFrom="paragraph">
              <wp:posOffset>3276146</wp:posOffset>
            </wp:positionV>
            <wp:extent cx="6766560" cy="2313940"/>
            <wp:effectExtent l="0" t="0" r="0" b="0"/>
            <wp:wrapNone/>
            <wp:docPr id="8" name="Picture 8" descr="cid:997B27FB-C53F-41A7-BA09-46C17AF5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97B27FB-C53F-41A7-BA09-46C17AF51209"/>
                    <pic:cNvPicPr>
                      <a:picLocks noChangeAspect="1" noChangeArrowheads="1"/>
                    </pic:cNvPicPr>
                  </pic:nvPicPr>
                  <pic:blipFill>
                    <a:blip r:embed="rId9" r:link="rId11">
                      <a:extLst>
                        <a:ext uri="{28A0092B-C50C-407E-A947-70E740481C1C}">
                          <a14:useLocalDpi xmlns:a14="http://schemas.microsoft.com/office/drawing/2010/main" val="0"/>
                        </a:ext>
                      </a:extLst>
                    </a:blip>
                    <a:srcRect/>
                    <a:stretch>
                      <a:fillRect/>
                    </a:stretch>
                  </pic:blipFill>
                  <pic:spPr bwMode="auto">
                    <a:xfrm>
                      <a:off x="0" y="0"/>
                      <a:ext cx="6766560" cy="231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200">
        <w:rPr>
          <w:bCs/>
          <w:sz w:val="22"/>
          <w:szCs w:val="22"/>
        </w:rPr>
        <w:t>.</w:t>
      </w:r>
      <w:r w:rsidR="00AA6D16">
        <w:rPr>
          <w:bCs/>
          <w:sz w:val="22"/>
          <w:szCs w:val="22"/>
        </w:rPr>
        <w:t xml:space="preserve">   </w:t>
      </w:r>
    </w:p>
    <w:p w:rsidR="00EB2981" w:rsidRDefault="00EB2981">
      <w:pPr>
        <w:spacing w:after="200" w:line="276" w:lineRule="auto"/>
        <w:rPr>
          <w:bCs/>
          <w:sz w:val="22"/>
          <w:szCs w:val="22"/>
        </w:rPr>
      </w:pPr>
      <w:r>
        <w:rPr>
          <w:bCs/>
          <w:sz w:val="22"/>
          <w:szCs w:val="22"/>
        </w:rPr>
        <w:br w:type="page"/>
      </w:r>
    </w:p>
    <w:p w:rsidR="00EB2981" w:rsidRDefault="00EB2981" w:rsidP="00AA6D1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p>
    <w:p w:rsidR="00292E9F" w:rsidRDefault="00EB2981" w:rsidP="002A2D49">
      <w:pPr>
        <w:tabs>
          <w:tab w:val="left" w:pos="1275"/>
        </w:tabs>
        <w:jc w:val="center"/>
        <w:rPr>
          <w:b/>
          <w:sz w:val="48"/>
          <w:szCs w:val="48"/>
        </w:rPr>
      </w:pPr>
      <w:r w:rsidRPr="00292E9F">
        <w:rPr>
          <w:b/>
          <w:sz w:val="48"/>
          <w:szCs w:val="48"/>
        </w:rPr>
        <w:t>List of</w:t>
      </w:r>
      <w:r w:rsidR="002A2D49">
        <w:rPr>
          <w:b/>
          <w:sz w:val="48"/>
          <w:szCs w:val="48"/>
        </w:rPr>
        <w:t xml:space="preserve"> Common Outcome Assessment Tools</w:t>
      </w:r>
    </w:p>
    <w:p w:rsidR="00AB62B2" w:rsidRPr="00102044" w:rsidRDefault="00AB62B2" w:rsidP="002A2D49">
      <w:pPr>
        <w:tabs>
          <w:tab w:val="left" w:pos="1275"/>
        </w:tabs>
        <w:jc w:val="center"/>
        <w:rPr>
          <w:b/>
          <w:sz w:val="48"/>
          <w:szCs w:val="48"/>
        </w:rPr>
      </w:pPr>
    </w:p>
    <w:p w:rsidR="00AB62B2" w:rsidRPr="00102044" w:rsidRDefault="00AB62B2" w:rsidP="002A2D49">
      <w:pPr>
        <w:tabs>
          <w:tab w:val="left" w:pos="1275"/>
        </w:tabs>
        <w:jc w:val="center"/>
        <w:rPr>
          <w:szCs w:val="24"/>
        </w:rPr>
        <w:sectPr w:rsidR="00AB62B2" w:rsidRPr="00102044" w:rsidSect="002A2D49">
          <w:headerReference w:type="default" r:id="rId12"/>
          <w:footerReference w:type="default" r:id="rId13"/>
          <w:headerReference w:type="first" r:id="rId14"/>
          <w:footerReference w:type="first" r:id="rId15"/>
          <w:pgSz w:w="12240" w:h="15840"/>
          <w:pgMar w:top="1197" w:right="810" w:bottom="1440" w:left="1440" w:header="720" w:footer="192" w:gutter="0"/>
          <w:cols w:space="720"/>
          <w:titlePg/>
          <w:docGrid w:linePitch="360"/>
        </w:sectPr>
      </w:pPr>
    </w:p>
    <w:tbl>
      <w:tblPr>
        <w:tblW w:w="6201" w:type="dxa"/>
        <w:tblInd w:w="93" w:type="dxa"/>
        <w:tblLook w:val="04A0" w:firstRow="1" w:lastRow="0" w:firstColumn="1" w:lastColumn="0" w:noHBand="0" w:noVBand="1"/>
      </w:tblPr>
      <w:tblGrid>
        <w:gridCol w:w="6201"/>
      </w:tblGrid>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lastRenderedPageBreak/>
              <w:t>ABC (Activities-specific Balance Confidence Scale)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 xml:space="preserve">ASES (American Shoulder and Elbow Surgeons Score) </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Back illness pain and disability nine-item scale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Back pain functional scale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Back pain interference scale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Bournemouth questionnaire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Canadian Occupational Performance Model – (COPM)</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Chronic Pain Scale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Clinical back pain questionnaire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Croft Disability Questionnaire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Dallas pain questionnaire</w:t>
            </w:r>
          </w:p>
        </w:tc>
      </w:tr>
      <w:tr w:rsidR="00102044" w:rsidRPr="00102044" w:rsidTr="002A2D49">
        <w:trPr>
          <w:trHeight w:val="300"/>
        </w:trPr>
        <w:tc>
          <w:tcPr>
            <w:tcW w:w="6201" w:type="dxa"/>
            <w:tcBorders>
              <w:top w:val="nil"/>
              <w:left w:val="nil"/>
              <w:bottom w:val="nil"/>
              <w:right w:val="nil"/>
            </w:tcBorders>
            <w:shd w:val="clear" w:color="auto" w:fill="auto"/>
            <w:noWrap/>
            <w:vAlign w:val="bottom"/>
            <w:hideMark/>
          </w:tcPr>
          <w:p w:rsidR="002A2D49" w:rsidRPr="002A2D49" w:rsidRDefault="002A2D49" w:rsidP="00AB62B2">
            <w:pPr>
              <w:tabs>
                <w:tab w:val="left" w:pos="4767"/>
              </w:tabs>
              <w:ind w:right="1218"/>
              <w:rPr>
                <w:sz w:val="20"/>
              </w:rPr>
            </w:pPr>
            <w:r w:rsidRPr="002A2D49">
              <w:rPr>
                <w:sz w:val="20"/>
              </w:rPr>
              <w:t>DASH (Disabilities of arm, shoulder &amp; hand) Score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Disability rating index</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Distress and Risk Assessment Method (DRAM)</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FABQ (Fear Avoidance Beliefs Questionnaire)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Fear-Avoidance Beliefs Questionnaire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proofErr w:type="spellStart"/>
            <w:r w:rsidRPr="002A2D49">
              <w:rPr>
                <w:sz w:val="20"/>
              </w:rPr>
              <w:t>Fugl</w:t>
            </w:r>
            <w:proofErr w:type="spellEnd"/>
            <w:r w:rsidRPr="002A2D49">
              <w:rPr>
                <w:sz w:val="20"/>
              </w:rPr>
              <w:t xml:space="preserve">-Meyer Assessment </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Functional outcomes questionnaire for spinal disorders</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Functional rating index</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General function score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Goal Attainment Scale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Human Activity Profile </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 xml:space="preserve">Jan van </w:t>
            </w:r>
            <w:proofErr w:type="spellStart"/>
            <w:r w:rsidRPr="002A2D49">
              <w:rPr>
                <w:sz w:val="20"/>
              </w:rPr>
              <w:t>Breemen</w:t>
            </w:r>
            <w:proofErr w:type="spellEnd"/>
            <w:r w:rsidRPr="002A2D49">
              <w:rPr>
                <w:sz w:val="20"/>
              </w:rPr>
              <w:t xml:space="preserve"> functional scale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Knee Injury and Osteoarthritis Outcome Score (KOOS)</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 xml:space="preserve">LEFS (Lower Extremity Functional Scale) </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Low back outcome score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Low back pain rating scale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Lower Extremity Functional Scale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proofErr w:type="spellStart"/>
            <w:r w:rsidRPr="002A2D49">
              <w:rPr>
                <w:sz w:val="20"/>
              </w:rPr>
              <w:t>Lysholm</w:t>
            </w:r>
            <w:proofErr w:type="spellEnd"/>
            <w:r w:rsidRPr="002A2D49">
              <w:rPr>
                <w:sz w:val="20"/>
              </w:rPr>
              <w:t xml:space="preserve"> Score </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McGill Pain Questionnaire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Million visual analogue scale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Modified Work Apgar</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 xml:space="preserve">NASS lumbar spine outcome assessment </w:t>
            </w:r>
            <w:r w:rsidRPr="002A2D49">
              <w:rPr>
                <w:i/>
                <w:iCs/>
                <w:sz w:val="20"/>
              </w:rPr>
              <w:t>instrument</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NDI (Neck Disability Index)</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Neck Disability Index</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tabs>
                <w:tab w:val="left" w:pos="4767"/>
              </w:tabs>
              <w:ind w:right="1218"/>
              <w:rPr>
                <w:sz w:val="20"/>
              </w:rPr>
            </w:pPr>
            <w:r w:rsidRPr="002A2D49">
              <w:rPr>
                <w:sz w:val="20"/>
              </w:rPr>
              <w:t xml:space="preserve">NPRS (Numeric Pain Rating Scale) </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lastRenderedPageBreak/>
              <w:t>Numeric Rating Scale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Occupational role questionnaire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Orebro Musculoskeletal Pain Questionnaire (OMPQ)</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proofErr w:type="spellStart"/>
            <w:r w:rsidRPr="002A2D49">
              <w:rPr>
                <w:sz w:val="20"/>
              </w:rPr>
              <w:t>Oswestry</w:t>
            </w:r>
            <w:proofErr w:type="spellEnd"/>
            <w:r w:rsidRPr="002A2D49">
              <w:rPr>
                <w:sz w:val="20"/>
              </w:rPr>
              <w:t xml:space="preserve"> disability index</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Outcome measure in lumbar spinal stenosis</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Outcome Rating Scale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Pain Beliefs &amp; Perceptions Inventory</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 xml:space="preserve">Pain </w:t>
            </w:r>
            <w:proofErr w:type="spellStart"/>
            <w:r w:rsidRPr="002A2D49">
              <w:rPr>
                <w:sz w:val="20"/>
              </w:rPr>
              <w:t>Catastrophising</w:t>
            </w:r>
            <w:proofErr w:type="spellEnd"/>
            <w:r w:rsidRPr="002A2D49">
              <w:rPr>
                <w:sz w:val="20"/>
              </w:rPr>
              <w:t xml:space="preserve"> Scale (PCS)</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Pain Disability Questionnaire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Pain response to activity and position questionnaire</w:t>
            </w:r>
          </w:p>
        </w:tc>
      </w:tr>
      <w:tr w:rsidR="00102044" w:rsidRPr="00102044" w:rsidTr="002A2D49">
        <w:trPr>
          <w:trHeight w:val="300"/>
        </w:trPr>
        <w:tc>
          <w:tcPr>
            <w:tcW w:w="6201" w:type="dxa"/>
            <w:tcBorders>
              <w:top w:val="nil"/>
              <w:left w:val="nil"/>
              <w:bottom w:val="nil"/>
              <w:right w:val="nil"/>
            </w:tcBorders>
            <w:shd w:val="clear" w:color="auto" w:fill="auto"/>
            <w:noWrap/>
            <w:vAlign w:val="bottom"/>
            <w:hideMark/>
          </w:tcPr>
          <w:p w:rsidR="002A2D49" w:rsidRPr="002A2D49" w:rsidRDefault="002A2D49" w:rsidP="00AB62B2">
            <w:pPr>
              <w:rPr>
                <w:sz w:val="20"/>
              </w:rPr>
            </w:pPr>
            <w:r w:rsidRPr="002A2D49">
              <w:rPr>
                <w:sz w:val="20"/>
              </w:rPr>
              <w:t>Pain Self-Efficacy Questionnaire (PSEQ)</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Patient-speciﬁc functional scale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 xml:space="preserve">Patient-Specific Functional Scale </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Penn Shoulder Score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Physical impairment scale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PI-NRS (Pain Intensity Numerical Rating Scale)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POMA (Performance Oriented Mobility Assessment</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Quadruple Visual Analog Scale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Quebec Back Pain Disability Scale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Quebec Back Pain Disability Scale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Quick DASH</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Resumption of activities of daily living scale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Roland–Morris disability questionnaire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 xml:space="preserve">Short Form 36 Bodily Pain Scale (Sf-36 Bps) </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Short Form McGill Pain Questionnaire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Shoulder Pain and Disability Index</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SPADI (Shoulder Pain and Disability Index)</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Spinal pain independence measure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 xml:space="preserve">SPPB (Short Physical Performance Battery) </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Symptom Check List 90R</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 xml:space="preserve">Upper Extremity Functional Index </w:t>
            </w:r>
          </w:p>
        </w:tc>
      </w:tr>
      <w:tr w:rsidR="00102044" w:rsidRPr="00102044" w:rsidTr="002A2D49">
        <w:trPr>
          <w:trHeight w:val="300"/>
        </w:trPr>
        <w:tc>
          <w:tcPr>
            <w:tcW w:w="6201" w:type="dxa"/>
            <w:tcBorders>
              <w:top w:val="nil"/>
              <w:left w:val="nil"/>
              <w:bottom w:val="nil"/>
              <w:right w:val="nil"/>
            </w:tcBorders>
            <w:shd w:val="clear" w:color="auto" w:fill="auto"/>
            <w:noWrap/>
            <w:vAlign w:val="bottom"/>
            <w:hideMark/>
          </w:tcPr>
          <w:p w:rsidR="002A2D49" w:rsidRPr="002A2D49" w:rsidRDefault="002A2D49" w:rsidP="00AB62B2">
            <w:pPr>
              <w:rPr>
                <w:sz w:val="20"/>
              </w:rPr>
            </w:pPr>
            <w:r w:rsidRPr="002A2D49">
              <w:rPr>
                <w:sz w:val="20"/>
              </w:rPr>
              <w:t xml:space="preserve">Vernon &amp; </w:t>
            </w:r>
            <w:proofErr w:type="spellStart"/>
            <w:r w:rsidRPr="002A2D49">
              <w:rPr>
                <w:sz w:val="20"/>
              </w:rPr>
              <w:t>Mior</w:t>
            </w:r>
            <w:proofErr w:type="spellEnd"/>
            <w:r w:rsidRPr="002A2D49">
              <w:rPr>
                <w:sz w:val="20"/>
              </w:rPr>
              <w:t xml:space="preserve"> Cervical Spine Score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Waddell disability index</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 xml:space="preserve">West Haven-Yale Multidimensional Pain Inventory </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Whiplash Disability Questionnaire</w:t>
            </w:r>
          </w:p>
        </w:tc>
      </w:tr>
      <w:tr w:rsidR="00102044" w:rsidRPr="00102044" w:rsidTr="002A2D49">
        <w:trPr>
          <w:trHeight w:val="300"/>
        </w:trPr>
        <w:tc>
          <w:tcPr>
            <w:tcW w:w="6201" w:type="dxa"/>
            <w:tcBorders>
              <w:top w:val="nil"/>
              <w:left w:val="nil"/>
              <w:bottom w:val="nil"/>
              <w:right w:val="nil"/>
            </w:tcBorders>
            <w:shd w:val="clear" w:color="auto" w:fill="auto"/>
            <w:noWrap/>
            <w:vAlign w:val="center"/>
            <w:hideMark/>
          </w:tcPr>
          <w:p w:rsidR="002A2D49" w:rsidRPr="002A2D49" w:rsidRDefault="002A2D49" w:rsidP="00AB62B2">
            <w:pPr>
              <w:rPr>
                <w:sz w:val="20"/>
              </w:rPr>
            </w:pPr>
            <w:r w:rsidRPr="002A2D49">
              <w:rPr>
                <w:sz w:val="20"/>
              </w:rPr>
              <w:t>WOMAC (</w:t>
            </w:r>
            <w:r w:rsidRPr="002A2D49">
              <w:rPr>
                <w:sz w:val="16"/>
                <w:szCs w:val="16"/>
              </w:rPr>
              <w:t>Western Ontario and McMaster Universities Osteoarthritis Index)</w:t>
            </w:r>
            <w:r w:rsidRPr="002A2D49">
              <w:rPr>
                <w:sz w:val="20"/>
              </w:rPr>
              <w:t xml:space="preserve"> </w:t>
            </w:r>
          </w:p>
        </w:tc>
      </w:tr>
    </w:tbl>
    <w:p w:rsidR="00AB62B2" w:rsidRDefault="00AB62B2" w:rsidP="00EF7EE1">
      <w:pPr>
        <w:tabs>
          <w:tab w:val="left" w:pos="1275"/>
        </w:tabs>
        <w:ind w:left="-450"/>
        <w:rPr>
          <w:szCs w:val="24"/>
        </w:rPr>
        <w:sectPr w:rsidR="00AB62B2" w:rsidSect="00AB62B2">
          <w:type w:val="continuous"/>
          <w:pgSz w:w="12240" w:h="15840"/>
          <w:pgMar w:top="1197" w:right="810" w:bottom="1440" w:left="1440" w:header="720" w:footer="192" w:gutter="0"/>
          <w:cols w:num="2" w:space="720"/>
          <w:titlePg/>
          <w:docGrid w:linePitch="360"/>
        </w:sectPr>
      </w:pPr>
    </w:p>
    <w:p w:rsidR="00EB2981" w:rsidRPr="00EF7EE1" w:rsidRDefault="00EB2981" w:rsidP="00EF7EE1">
      <w:pPr>
        <w:tabs>
          <w:tab w:val="left" w:pos="1275"/>
        </w:tabs>
        <w:ind w:left="-450"/>
        <w:rPr>
          <w:szCs w:val="24"/>
        </w:rPr>
      </w:pPr>
    </w:p>
    <w:sectPr w:rsidR="00EB2981" w:rsidRPr="00EF7EE1" w:rsidSect="00292E9F">
      <w:type w:val="continuous"/>
      <w:pgSz w:w="12240" w:h="15840"/>
      <w:pgMar w:top="1197" w:right="810" w:bottom="1440" w:left="1440" w:header="720" w:footer="1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32" w:rsidRDefault="00FC2932" w:rsidP="000D2081">
      <w:r>
        <w:separator/>
      </w:r>
    </w:p>
  </w:endnote>
  <w:endnote w:type="continuationSeparator" w:id="0">
    <w:p w:rsidR="00FC2932" w:rsidRDefault="00FC2932"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47D41575" wp14:editId="2E47FFBF">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D5" w:rsidRDefault="008611D5" w:rsidP="008611D5">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9504" behindDoc="0" locked="0" layoutInCell="1" allowOverlap="1" wp14:anchorId="0FF5EF0F" wp14:editId="68E0DC67">
              <wp:simplePos x="0" y="0"/>
              <wp:positionH relativeFrom="column">
                <wp:posOffset>-190501</wp:posOffset>
              </wp:positionH>
              <wp:positionV relativeFrom="paragraph">
                <wp:posOffset>188595</wp:posOffset>
              </wp:positionV>
              <wp:extent cx="6391275" cy="0"/>
              <wp:effectExtent l="57150" t="38100" r="47625" b="9525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" strokecolor="windowText" strokeweight="3pt">
              <v:shadow on="t" color="black" opacity="22937f" origin=",.5" offset="0,.63889mm"/>
            </v:line>
          </w:pict>
        </mc:Fallback>
      </mc:AlternateContent>
    </w:r>
  </w:p>
  <w:p w:rsidR="008611D5" w:rsidRPr="00AC28FF" w:rsidRDefault="008611D5" w:rsidP="008611D5">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8611D5" w:rsidRPr="00AC28FF" w:rsidRDefault="008611D5" w:rsidP="008611D5">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8611D5" w:rsidRPr="00AC28FF" w:rsidRDefault="008611D5" w:rsidP="008611D5">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32" w:rsidRDefault="00FC2932" w:rsidP="000D2081">
      <w:r>
        <w:separator/>
      </w:r>
    </w:p>
  </w:footnote>
  <w:footnote w:type="continuationSeparator" w:id="0">
    <w:p w:rsidR="00FC2932" w:rsidRDefault="00FC2932"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812057"/>
      <w:docPartObj>
        <w:docPartGallery w:val="Page Numbers (Top of Page)"/>
        <w:docPartUnique/>
      </w:docPartObj>
    </w:sdtPr>
    <w:sdtEndPr/>
    <w:sdtContent>
      <w:p w:rsidR="008611D5" w:rsidRPr="002B6A30" w:rsidRDefault="008611D5" w:rsidP="00206BB8">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center"/>
          <w:rPr>
            <w:bCs/>
            <w:sz w:val="36"/>
            <w:szCs w:val="36"/>
          </w:rPr>
        </w:pPr>
      </w:p>
      <w:p w:rsidR="008611D5" w:rsidRDefault="008611D5" w:rsidP="00206BB8">
        <w:pPr>
          <w:pStyle w:val="Header"/>
          <w:ind w:left="-720"/>
          <w:jc w:val="center"/>
        </w:pPr>
        <w:r>
          <w:t xml:space="preserve">Page </w:t>
        </w:r>
        <w:r>
          <w:rPr>
            <w:b/>
            <w:bCs/>
            <w:szCs w:val="24"/>
          </w:rPr>
          <w:fldChar w:fldCharType="begin"/>
        </w:r>
        <w:r>
          <w:rPr>
            <w:b/>
            <w:bCs/>
          </w:rPr>
          <w:instrText xml:space="preserve"> PAGE </w:instrText>
        </w:r>
        <w:r>
          <w:rPr>
            <w:b/>
            <w:bCs/>
            <w:szCs w:val="24"/>
          </w:rPr>
          <w:fldChar w:fldCharType="separate"/>
        </w:r>
        <w:r w:rsidR="00894CD8">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94CD8">
          <w:rPr>
            <w:b/>
            <w:bCs/>
            <w:noProof/>
          </w:rPr>
          <w:t>2</w:t>
        </w:r>
        <w:r>
          <w:rPr>
            <w:b/>
            <w:bCs/>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D5" w:rsidRDefault="008611D5" w:rsidP="008611D5">
    <w:pPr>
      <w:ind w:left="-810" w:right="-990"/>
      <w:jc w:val="center"/>
      <w:rPr>
        <w:b/>
        <w:color w:val="FF0000"/>
        <w:sz w:val="18"/>
        <w:szCs w:val="18"/>
      </w:rPr>
    </w:pPr>
    <w:r>
      <w:rPr>
        <w:noProof/>
      </w:rPr>
      <w:drawing>
        <wp:anchor distT="0" distB="0" distL="114300" distR="114300" simplePos="0" relativeHeight="251665408" behindDoc="1" locked="0" layoutInCell="1" allowOverlap="1" wp14:anchorId="1B2B1EDA" wp14:editId="604B4A37">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10" name="Picture 10"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1D5" w:rsidRDefault="008611D5" w:rsidP="008611D5">
    <w:pPr>
      <w:ind w:left="-810" w:right="-990"/>
      <w:jc w:val="center"/>
      <w:rPr>
        <w:b/>
        <w:color w:val="FF0000"/>
        <w:sz w:val="18"/>
        <w:szCs w:val="18"/>
      </w:rPr>
    </w:pPr>
  </w:p>
  <w:p w:rsidR="008611D5" w:rsidRDefault="008611D5" w:rsidP="008611D5">
    <w:pPr>
      <w:ind w:left="-810" w:right="-990"/>
      <w:jc w:val="center"/>
      <w:rPr>
        <w:b/>
        <w:color w:val="FF0000"/>
        <w:sz w:val="18"/>
        <w:szCs w:val="18"/>
      </w:rPr>
    </w:pPr>
  </w:p>
  <w:p w:rsidR="008611D5" w:rsidRDefault="008611D5" w:rsidP="008611D5">
    <w:pPr>
      <w:ind w:left="-810" w:right="-990"/>
      <w:jc w:val="center"/>
      <w:rPr>
        <w:b/>
        <w:color w:val="FF0000"/>
        <w:sz w:val="18"/>
        <w:szCs w:val="18"/>
      </w:rPr>
    </w:pPr>
  </w:p>
  <w:p w:rsidR="008611D5" w:rsidRDefault="008611D5" w:rsidP="008611D5">
    <w:pPr>
      <w:tabs>
        <w:tab w:val="left" w:pos="1170"/>
      </w:tabs>
      <w:ind w:left="-810" w:right="-990"/>
      <w:rPr>
        <w:b/>
        <w:color w:val="FF0000"/>
        <w:sz w:val="18"/>
        <w:szCs w:val="18"/>
      </w:rPr>
    </w:pPr>
    <w:r>
      <w:rPr>
        <w:b/>
        <w:color w:val="FF0000"/>
        <w:sz w:val="18"/>
        <w:szCs w:val="18"/>
      </w:rPr>
      <w:tab/>
    </w:r>
  </w:p>
  <w:p w:rsidR="008611D5" w:rsidRDefault="008611D5" w:rsidP="008611D5">
    <w:pPr>
      <w:tabs>
        <w:tab w:val="left" w:pos="1170"/>
      </w:tabs>
      <w:ind w:left="-810" w:right="-990"/>
      <w:rPr>
        <w:b/>
        <w:color w:val="FF0000"/>
        <w:sz w:val="18"/>
        <w:szCs w:val="18"/>
      </w:rPr>
    </w:pPr>
  </w:p>
  <w:p w:rsidR="008611D5" w:rsidRDefault="008611D5" w:rsidP="008611D5">
    <w:pPr>
      <w:ind w:left="-810" w:right="-990"/>
      <w:jc w:val="center"/>
      <w:rPr>
        <w:b/>
        <w:color w:val="FF0000"/>
        <w:sz w:val="18"/>
        <w:szCs w:val="18"/>
      </w:rPr>
    </w:pPr>
  </w:p>
  <w:p w:rsidR="008611D5" w:rsidRDefault="008611D5" w:rsidP="008611D5">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6432" behindDoc="1" locked="0" layoutInCell="1" allowOverlap="1" wp14:anchorId="436B0296" wp14:editId="7B4F0FD4">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8611D5" w:rsidRPr="003A3862" w:rsidRDefault="008611D5" w:rsidP="008611D5">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8611D5" w:rsidRDefault="008611D5" w:rsidP="00534C3E">
    <w:pPr>
      <w:ind w:right="-990"/>
    </w:pPr>
    <w:r>
      <w:rPr>
        <w:b/>
        <w:noProof/>
        <w:color w:val="FF0000"/>
        <w:sz w:val="18"/>
        <w:szCs w:val="18"/>
      </w:rPr>
      <mc:AlternateContent>
        <mc:Choice Requires="wps">
          <w:drawing>
            <wp:anchor distT="0" distB="0" distL="114300" distR="114300" simplePos="0" relativeHeight="251667456" behindDoc="1" locked="0" layoutInCell="1" allowOverlap="1" wp14:anchorId="231F21F7" wp14:editId="7C66D492">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964"/>
    <w:multiLevelType w:val="hybridMultilevel"/>
    <w:tmpl w:val="E644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53346"/>
    <w:multiLevelType w:val="multilevel"/>
    <w:tmpl w:val="9ACE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2C0D82"/>
    <w:multiLevelType w:val="hybridMultilevel"/>
    <w:tmpl w:val="C7C8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38527B"/>
    <w:multiLevelType w:val="multilevel"/>
    <w:tmpl w:val="122A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942396"/>
    <w:multiLevelType w:val="multilevel"/>
    <w:tmpl w:val="F27A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846749"/>
    <w:multiLevelType w:val="multilevel"/>
    <w:tmpl w:val="570A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4B1065DC"/>
    <w:multiLevelType w:val="multilevel"/>
    <w:tmpl w:val="D95E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E0F37"/>
    <w:multiLevelType w:val="hybridMultilevel"/>
    <w:tmpl w:val="B952F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D561F"/>
    <w:multiLevelType w:val="multilevel"/>
    <w:tmpl w:val="5B70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2F1419"/>
    <w:multiLevelType w:val="multilevel"/>
    <w:tmpl w:val="7D82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BE625F8"/>
    <w:multiLevelType w:val="multilevel"/>
    <w:tmpl w:val="A0AC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325ACD"/>
    <w:multiLevelType w:val="hybridMultilevel"/>
    <w:tmpl w:val="0CFC6806"/>
    <w:lvl w:ilvl="0" w:tplc="54965B0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0"/>
  </w:num>
  <w:num w:numId="2">
    <w:abstractNumId w:val="5"/>
  </w:num>
  <w:num w:numId="3">
    <w:abstractNumId w:val="4"/>
  </w:num>
  <w:num w:numId="4">
    <w:abstractNumId w:val="17"/>
  </w:num>
  <w:num w:numId="5">
    <w:abstractNumId w:val="9"/>
  </w:num>
  <w:num w:numId="6">
    <w:abstractNumId w:val="12"/>
  </w:num>
  <w:num w:numId="7">
    <w:abstractNumId w:val="1"/>
  </w:num>
  <w:num w:numId="8">
    <w:abstractNumId w:val="3"/>
  </w:num>
  <w:num w:numId="9">
    <w:abstractNumId w:val="13"/>
  </w:num>
  <w:num w:numId="10">
    <w:abstractNumId w:val="18"/>
  </w:num>
  <w:num w:numId="11">
    <w:abstractNumId w:val="8"/>
  </w:num>
  <w:num w:numId="12">
    <w:abstractNumId w:val="16"/>
  </w:num>
  <w:num w:numId="13">
    <w:abstractNumId w:val="2"/>
  </w:num>
  <w:num w:numId="14">
    <w:abstractNumId w:val="11"/>
  </w:num>
  <w:num w:numId="15">
    <w:abstractNumId w:val="14"/>
  </w:num>
  <w:num w:numId="16">
    <w:abstractNumId w:val="6"/>
  </w:num>
  <w:num w:numId="17">
    <w:abstractNumId w:val="15"/>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12692"/>
    <w:rsid w:val="00030F18"/>
    <w:rsid w:val="000351D3"/>
    <w:rsid w:val="0004028F"/>
    <w:rsid w:val="0006518E"/>
    <w:rsid w:val="00073887"/>
    <w:rsid w:val="00082918"/>
    <w:rsid w:val="00095FC3"/>
    <w:rsid w:val="000A62ED"/>
    <w:rsid w:val="000B2F31"/>
    <w:rsid w:val="000B353B"/>
    <w:rsid w:val="000B4B28"/>
    <w:rsid w:val="000C2DDE"/>
    <w:rsid w:val="000D2081"/>
    <w:rsid w:val="000D6617"/>
    <w:rsid w:val="000F0BCC"/>
    <w:rsid w:val="00102044"/>
    <w:rsid w:val="00115B80"/>
    <w:rsid w:val="00134D96"/>
    <w:rsid w:val="00137F85"/>
    <w:rsid w:val="00140CD1"/>
    <w:rsid w:val="001417A2"/>
    <w:rsid w:val="00141C9C"/>
    <w:rsid w:val="00164F78"/>
    <w:rsid w:val="0017024A"/>
    <w:rsid w:val="0017072F"/>
    <w:rsid w:val="001708BE"/>
    <w:rsid w:val="00173EE3"/>
    <w:rsid w:val="00175055"/>
    <w:rsid w:val="00181EC3"/>
    <w:rsid w:val="00194E74"/>
    <w:rsid w:val="001A1D5D"/>
    <w:rsid w:val="001B1F34"/>
    <w:rsid w:val="001E7277"/>
    <w:rsid w:val="00206BB8"/>
    <w:rsid w:val="00210768"/>
    <w:rsid w:val="0022233B"/>
    <w:rsid w:val="00235D73"/>
    <w:rsid w:val="002538A4"/>
    <w:rsid w:val="00255FD2"/>
    <w:rsid w:val="00260C5C"/>
    <w:rsid w:val="00266803"/>
    <w:rsid w:val="0028166D"/>
    <w:rsid w:val="00291A05"/>
    <w:rsid w:val="00292E9F"/>
    <w:rsid w:val="00295F24"/>
    <w:rsid w:val="002A2D49"/>
    <w:rsid w:val="002B0311"/>
    <w:rsid w:val="002B1089"/>
    <w:rsid w:val="002B6A30"/>
    <w:rsid w:val="002B75B6"/>
    <w:rsid w:val="002C031B"/>
    <w:rsid w:val="002D1227"/>
    <w:rsid w:val="002D4E8A"/>
    <w:rsid w:val="002E5B1B"/>
    <w:rsid w:val="00312649"/>
    <w:rsid w:val="00314011"/>
    <w:rsid w:val="00327ED3"/>
    <w:rsid w:val="00335EC1"/>
    <w:rsid w:val="0035576B"/>
    <w:rsid w:val="00356B72"/>
    <w:rsid w:val="003573CF"/>
    <w:rsid w:val="0036355F"/>
    <w:rsid w:val="00364B97"/>
    <w:rsid w:val="00371043"/>
    <w:rsid w:val="00371EDA"/>
    <w:rsid w:val="0037777D"/>
    <w:rsid w:val="00380666"/>
    <w:rsid w:val="003855F8"/>
    <w:rsid w:val="0039255D"/>
    <w:rsid w:val="003A0F6B"/>
    <w:rsid w:val="003A64CA"/>
    <w:rsid w:val="003A7A82"/>
    <w:rsid w:val="003B1630"/>
    <w:rsid w:val="003C134B"/>
    <w:rsid w:val="00415FBE"/>
    <w:rsid w:val="00431BFF"/>
    <w:rsid w:val="004443E4"/>
    <w:rsid w:val="0044644C"/>
    <w:rsid w:val="004505DC"/>
    <w:rsid w:val="00452E4D"/>
    <w:rsid w:val="0047636C"/>
    <w:rsid w:val="00480038"/>
    <w:rsid w:val="004858D2"/>
    <w:rsid w:val="004C6051"/>
    <w:rsid w:val="005048C2"/>
    <w:rsid w:val="00516A0F"/>
    <w:rsid w:val="00524ACA"/>
    <w:rsid w:val="00534C3E"/>
    <w:rsid w:val="00544A75"/>
    <w:rsid w:val="005549E8"/>
    <w:rsid w:val="00562CB7"/>
    <w:rsid w:val="005631F2"/>
    <w:rsid w:val="00566AF6"/>
    <w:rsid w:val="00566BF5"/>
    <w:rsid w:val="00577F9B"/>
    <w:rsid w:val="00596836"/>
    <w:rsid w:val="005B4DE7"/>
    <w:rsid w:val="005C2E30"/>
    <w:rsid w:val="005D086F"/>
    <w:rsid w:val="005D4816"/>
    <w:rsid w:val="005D5F01"/>
    <w:rsid w:val="005E1B61"/>
    <w:rsid w:val="006027D3"/>
    <w:rsid w:val="006320E4"/>
    <w:rsid w:val="00645A84"/>
    <w:rsid w:val="00662BAC"/>
    <w:rsid w:val="00681CA6"/>
    <w:rsid w:val="006830DF"/>
    <w:rsid w:val="006A276A"/>
    <w:rsid w:val="006D75CB"/>
    <w:rsid w:val="006E2FF6"/>
    <w:rsid w:val="006E51E9"/>
    <w:rsid w:val="006F6E93"/>
    <w:rsid w:val="00701EFF"/>
    <w:rsid w:val="00705D8E"/>
    <w:rsid w:val="00727BD2"/>
    <w:rsid w:val="00735C3B"/>
    <w:rsid w:val="007624F3"/>
    <w:rsid w:val="00780E8F"/>
    <w:rsid w:val="0078361A"/>
    <w:rsid w:val="007917E7"/>
    <w:rsid w:val="0079475C"/>
    <w:rsid w:val="007C67C4"/>
    <w:rsid w:val="007D0A2B"/>
    <w:rsid w:val="007D5136"/>
    <w:rsid w:val="007E15BB"/>
    <w:rsid w:val="007E63E3"/>
    <w:rsid w:val="007F14F5"/>
    <w:rsid w:val="007F4655"/>
    <w:rsid w:val="007F5498"/>
    <w:rsid w:val="007F5F74"/>
    <w:rsid w:val="00802B9E"/>
    <w:rsid w:val="008204CF"/>
    <w:rsid w:val="00830051"/>
    <w:rsid w:val="008611D5"/>
    <w:rsid w:val="00870564"/>
    <w:rsid w:val="0088566D"/>
    <w:rsid w:val="00894CD8"/>
    <w:rsid w:val="008A16E0"/>
    <w:rsid w:val="008A186D"/>
    <w:rsid w:val="008B68F4"/>
    <w:rsid w:val="008C101B"/>
    <w:rsid w:val="008C1B28"/>
    <w:rsid w:val="008C4785"/>
    <w:rsid w:val="008C7151"/>
    <w:rsid w:val="008E316A"/>
    <w:rsid w:val="009411EB"/>
    <w:rsid w:val="009724ED"/>
    <w:rsid w:val="009726EE"/>
    <w:rsid w:val="00994A8A"/>
    <w:rsid w:val="0099647E"/>
    <w:rsid w:val="009967F0"/>
    <w:rsid w:val="009A01D6"/>
    <w:rsid w:val="009B5932"/>
    <w:rsid w:val="009C3DC4"/>
    <w:rsid w:val="009C5F2A"/>
    <w:rsid w:val="009D4625"/>
    <w:rsid w:val="009F6A10"/>
    <w:rsid w:val="00A0447F"/>
    <w:rsid w:val="00A17CE6"/>
    <w:rsid w:val="00A204F8"/>
    <w:rsid w:val="00A25DD7"/>
    <w:rsid w:val="00A40FAA"/>
    <w:rsid w:val="00A50237"/>
    <w:rsid w:val="00A55C57"/>
    <w:rsid w:val="00A604EC"/>
    <w:rsid w:val="00A63D6D"/>
    <w:rsid w:val="00A80875"/>
    <w:rsid w:val="00A96099"/>
    <w:rsid w:val="00AA10B1"/>
    <w:rsid w:val="00AA6D16"/>
    <w:rsid w:val="00AB62B2"/>
    <w:rsid w:val="00AB69CE"/>
    <w:rsid w:val="00AC28FF"/>
    <w:rsid w:val="00AD318A"/>
    <w:rsid w:val="00AF33D7"/>
    <w:rsid w:val="00AF44F9"/>
    <w:rsid w:val="00AF7111"/>
    <w:rsid w:val="00B17BAD"/>
    <w:rsid w:val="00B17F20"/>
    <w:rsid w:val="00B34CF1"/>
    <w:rsid w:val="00B4412D"/>
    <w:rsid w:val="00B534FD"/>
    <w:rsid w:val="00B605E1"/>
    <w:rsid w:val="00B823D7"/>
    <w:rsid w:val="00B91598"/>
    <w:rsid w:val="00BA62E4"/>
    <w:rsid w:val="00BF2213"/>
    <w:rsid w:val="00BF269B"/>
    <w:rsid w:val="00C068A7"/>
    <w:rsid w:val="00C0709A"/>
    <w:rsid w:val="00C20C01"/>
    <w:rsid w:val="00C25BA9"/>
    <w:rsid w:val="00C35246"/>
    <w:rsid w:val="00C37E37"/>
    <w:rsid w:val="00C71A43"/>
    <w:rsid w:val="00C7562E"/>
    <w:rsid w:val="00C82885"/>
    <w:rsid w:val="00C8363A"/>
    <w:rsid w:val="00C83E14"/>
    <w:rsid w:val="00C8540F"/>
    <w:rsid w:val="00C91BD4"/>
    <w:rsid w:val="00CA1F87"/>
    <w:rsid w:val="00CD690E"/>
    <w:rsid w:val="00CF1DDE"/>
    <w:rsid w:val="00D105E4"/>
    <w:rsid w:val="00D173D4"/>
    <w:rsid w:val="00D269D7"/>
    <w:rsid w:val="00D56C0B"/>
    <w:rsid w:val="00D84200"/>
    <w:rsid w:val="00D86745"/>
    <w:rsid w:val="00D90510"/>
    <w:rsid w:val="00D938BD"/>
    <w:rsid w:val="00D969A5"/>
    <w:rsid w:val="00DC0BBF"/>
    <w:rsid w:val="00DC3CB6"/>
    <w:rsid w:val="00DD0E36"/>
    <w:rsid w:val="00DE4F36"/>
    <w:rsid w:val="00DF24B1"/>
    <w:rsid w:val="00DF53B9"/>
    <w:rsid w:val="00E16E5C"/>
    <w:rsid w:val="00E2360C"/>
    <w:rsid w:val="00E27299"/>
    <w:rsid w:val="00E43E8A"/>
    <w:rsid w:val="00E50202"/>
    <w:rsid w:val="00E51E49"/>
    <w:rsid w:val="00E61B58"/>
    <w:rsid w:val="00E83493"/>
    <w:rsid w:val="00E90B6B"/>
    <w:rsid w:val="00E91680"/>
    <w:rsid w:val="00EA6FA9"/>
    <w:rsid w:val="00EB2981"/>
    <w:rsid w:val="00ED7436"/>
    <w:rsid w:val="00EE0111"/>
    <w:rsid w:val="00EF0E5B"/>
    <w:rsid w:val="00EF7EE1"/>
    <w:rsid w:val="00F0242B"/>
    <w:rsid w:val="00F1450D"/>
    <w:rsid w:val="00F155E5"/>
    <w:rsid w:val="00F22CF8"/>
    <w:rsid w:val="00F314FF"/>
    <w:rsid w:val="00F40E1F"/>
    <w:rsid w:val="00F5005C"/>
    <w:rsid w:val="00F87B19"/>
    <w:rsid w:val="00FB0516"/>
    <w:rsid w:val="00FB3F60"/>
    <w:rsid w:val="00FC2932"/>
    <w:rsid w:val="00FE265C"/>
    <w:rsid w:val="00FE7641"/>
    <w:rsid w:val="00FF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unhideWhenUsed/>
    <w:rsid w:val="00645A84"/>
    <w:rPr>
      <w:color w:val="0000FF"/>
      <w:u w:val="single"/>
    </w:rPr>
  </w:style>
  <w:style w:type="character" w:styleId="Strong">
    <w:name w:val="Strong"/>
    <w:basedOn w:val="DefaultParagraphFont"/>
    <w:uiPriority w:val="22"/>
    <w:qFormat/>
    <w:rsid w:val="00EB29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unhideWhenUsed/>
    <w:rsid w:val="00645A84"/>
    <w:rPr>
      <w:color w:val="0000FF"/>
      <w:u w:val="single"/>
    </w:rPr>
  </w:style>
  <w:style w:type="character" w:styleId="Strong">
    <w:name w:val="Strong"/>
    <w:basedOn w:val="DefaultParagraphFont"/>
    <w:uiPriority w:val="22"/>
    <w:qFormat/>
    <w:rsid w:val="00EB2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2372">
      <w:bodyDiv w:val="1"/>
      <w:marLeft w:val="0"/>
      <w:marRight w:val="0"/>
      <w:marTop w:val="0"/>
      <w:marBottom w:val="0"/>
      <w:divBdr>
        <w:top w:val="none" w:sz="0" w:space="0" w:color="auto"/>
        <w:left w:val="none" w:sz="0" w:space="0" w:color="auto"/>
        <w:bottom w:val="none" w:sz="0" w:space="0" w:color="auto"/>
        <w:right w:val="none" w:sz="0" w:space="0" w:color="auto"/>
      </w:divBdr>
    </w:div>
    <w:div w:id="1094203929">
      <w:bodyDiv w:val="1"/>
      <w:marLeft w:val="0"/>
      <w:marRight w:val="0"/>
      <w:marTop w:val="0"/>
      <w:marBottom w:val="0"/>
      <w:divBdr>
        <w:top w:val="none" w:sz="0" w:space="0" w:color="auto"/>
        <w:left w:val="none" w:sz="0" w:space="0" w:color="auto"/>
        <w:bottom w:val="none" w:sz="0" w:space="0" w:color="auto"/>
        <w:right w:val="none" w:sz="0" w:space="0" w:color="auto"/>
      </w:divBdr>
    </w:div>
    <w:div w:id="1152406677">
      <w:bodyDiv w:val="1"/>
      <w:marLeft w:val="0"/>
      <w:marRight w:val="0"/>
      <w:marTop w:val="0"/>
      <w:marBottom w:val="0"/>
      <w:divBdr>
        <w:top w:val="none" w:sz="0" w:space="0" w:color="auto"/>
        <w:left w:val="none" w:sz="0" w:space="0" w:color="auto"/>
        <w:bottom w:val="none" w:sz="0" w:space="0" w:color="auto"/>
        <w:right w:val="none" w:sz="0" w:space="0" w:color="auto"/>
      </w:divBdr>
    </w:div>
    <w:div w:id="1264418375">
      <w:bodyDiv w:val="1"/>
      <w:marLeft w:val="0"/>
      <w:marRight w:val="0"/>
      <w:marTop w:val="0"/>
      <w:marBottom w:val="0"/>
      <w:divBdr>
        <w:top w:val="none" w:sz="0" w:space="0" w:color="auto"/>
        <w:left w:val="none" w:sz="0" w:space="0" w:color="auto"/>
        <w:bottom w:val="none" w:sz="0" w:space="0" w:color="auto"/>
        <w:right w:val="none" w:sz="0" w:space="0" w:color="auto"/>
      </w:divBdr>
    </w:div>
    <w:div w:id="1807160838">
      <w:bodyDiv w:val="1"/>
      <w:marLeft w:val="0"/>
      <w:marRight w:val="0"/>
      <w:marTop w:val="0"/>
      <w:marBottom w:val="0"/>
      <w:divBdr>
        <w:top w:val="none" w:sz="0" w:space="0" w:color="auto"/>
        <w:left w:val="none" w:sz="0" w:space="0" w:color="auto"/>
        <w:bottom w:val="none" w:sz="0" w:space="0" w:color="auto"/>
        <w:right w:val="none" w:sz="0" w:space="0" w:color="auto"/>
      </w:divBdr>
    </w:div>
    <w:div w:id="1913082365">
      <w:bodyDiv w:val="1"/>
      <w:marLeft w:val="0"/>
      <w:marRight w:val="0"/>
      <w:marTop w:val="0"/>
      <w:marBottom w:val="0"/>
      <w:divBdr>
        <w:top w:val="none" w:sz="0" w:space="0" w:color="auto"/>
        <w:left w:val="none" w:sz="0" w:space="0" w:color="auto"/>
        <w:bottom w:val="none" w:sz="0" w:space="0" w:color="auto"/>
        <w:right w:val="none" w:sz="0" w:space="0" w:color="auto"/>
      </w:divBdr>
    </w:div>
    <w:div w:id="203248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997B27FB-C53F-41A7-BA09-46C17AF5120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r.Shaw@ShawChiropractic.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B3EC-DDC7-4A0A-909C-BB48C332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23</cp:revision>
  <cp:lastPrinted>2013-10-09T21:03:00Z</cp:lastPrinted>
  <dcterms:created xsi:type="dcterms:W3CDTF">2013-10-08T16:06:00Z</dcterms:created>
  <dcterms:modified xsi:type="dcterms:W3CDTF">2013-10-09T21:12:00Z</dcterms:modified>
</cp:coreProperties>
</file>